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Im Reich der Pinguine und Eisberge</w:t>
      </w:r>
    </w:p>
    <w:p>
      <w:pPr>
        <w:jc w:val="center"/>
      </w:pPr>
      <w:r>
        <w:rPr>
          <w:rFonts w:ascii="Arial" w:hAnsi="Arial" w:eastAsia="Arial" w:cs="Arial"/>
          <w:sz w:val="26"/>
          <w:szCs w:val="26"/>
          <w:b/>
        </w:rPr>
        <w:t xml:space="preserve">28 Feb - 10 Mär 2028</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(28. Febr.):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(29. Febr):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3-4 (01. bis 02. März): Überquerung der Drakepassage</w:t>
            </w:r>
          </w:p>
          <w:p>
            <w:pPr/>
            <w:r>
              <w:rPr/>
              <w:t xml:space="preserve">	 Nachdem wir die Inseln Feuerlands passiert haben, geht es Richtung Süden in die Drake-Passage. Unterwegs halten wir Ausschau nach Buckel- und Finnwalen. Der majestätische Wanderalbatros und andere anmutige subantarktische Seevögel sind in diesen Gewässern häufig anzutreffen und können von den offenen Panoramadecks und Balkonen aus gut beobachtet werden.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 Wir hoffen, die Südshetlandinseln am Abend unseres zweiten Tages auf See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5-9 (03. bis 07. März): Südshetlandinseln und die Antarktische Halbinsel</w:t>
            </w:r>
          </w:p>
          <w:p>
            <w:pPr/>
            <w:r>
              <w:rPr/>
              <w:t xml:space="preserve">	 Die Expedition beginnt! Die Route der Kreuzfahrt in der Antarktis hängt stark vom Wetter und von den Eiskonditionen ab. Ihr erfahrener Kapitän und der Expeditionsleiter legen vor Ort täglich neu die Route und Anlandungen fest und planen nach den örtlichen Konditionen, um das beste Expeditionserlebnis bieten zu können. Die langen Tage werden genutzt um die unglaubliche Tierwelt neben den Anlandungen auch mit den stabilen Zodiacs zu erkunden. 	 In der Region der Antarktischen Halbinsel trifft man auf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Die Südshetlandinseln ist die nördlichste Inselgruppe der Antarktis und wird wahrscheinlich auch für Sie das erste Land sein, das wir vom Expeditions-Kreuzfahrtschiff aus sichten – ganz auf den Spuren der historischen Seefahrer. Diese schöne Inselkette bietet unzählige Anlandeplätze mit hoher Artenvielfalt und von geschichtlicher Bedeutung. Ein Höhepunkt ist die Insel Deception; ein aktiver Vulkan, dessen Caldera geflutet ist und die Überreste einer verlassenen Walfangstation beherbergt. 	 Weiter südlich an der Antarktischen Halbinsel finden wir die Gerlach-Straße mit interessanten, oft windgeschützten und tierreichen Buchten und unvergesslicher Landschaft. Namen wie die Paradiesbucht bringen es auf den Punkt, denn sie zeigen von Gletschern bedeckte Berge, große Eisberge, oft Wale auf Nahrungssuche, Robben auf Eisschollen und geschäftige Pinguinkolonien. 	 Weiter südlich der Gerlach-Straße liegt der bekannte Lemairekanal. Der enge, wunderschön gelegene Kanal wird auch "Kodak Gap" genannt aufgrund der Unmengen von Fotos, die hier geknipst werden. 	 Die Tage in der Antarktis sind ausgefüllt mit Aktivitäten, die man nicht vergessen wird. Genießen Sie daneben das gute Essen an Bord, die Vorträge Ihres Expeditionsteams, Gespräche mit den Mitreisenden und lassen Sie sich vom „Polarvirus“ infizieren.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10-11 (08. bis 09. März): Überquerung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12 (10. März):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Mehr zu Flügen, Sitzplätzen und Reisegepäck erfahren Sie in unserer Rubrik</w:t>
            </w:r>
            <w:r>
              <w:rPr/>
              <w:t xml:space="preserve"> </w:t>
            </w:r>
            <w:r>
              <w:rPr/>
              <w:t xml:space="preserve">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2027/28 (OPTIONALE AKTIVITÄT)</w:t>
            </w:r>
          </w:p>
          <w:p>
            <w:pPr/>
            <w:r>
              <w:rPr/>
              <w:t xml:space="preserve"> </w:t>
            </w:r>
          </w:p>
          <w:p>
            <w:pPr/>
            <w:r>
              <w:rPr/>
              <w:t xml:space="preserve"> </w:t>
            </w:r>
          </w:p>
          <w:p>
            <w:pPr/>
            <w:r>
              <w:rPr/>
              <w:t xml:space="preserve"> </w:t>
            </w:r>
          </w:p>
          <w:p>
            <w:pPr/>
            <w:r>
              <w:rPr/>
              <w:t xml:space="preserve">Antarktische Halbinsel: 1.395 € p. P.</w:t>
            </w:r>
          </w:p>
          <w:p>
            <w:pPr/>
            <w:r>
              <w:rPr/>
              <w:t xml:space="preserve"> </w:t>
            </w:r>
          </w:p>
          <w:p>
            <w:pPr/>
            <w:r>
              <w:rPr/>
              <w:t xml:space="preserve"> </w:t>
            </w:r>
          </w:p>
          <w:p>
            <w:pPr/>
            <w:r>
              <w:rPr/>
              <w:t xml:space="preserve"> </w:t>
            </w:r>
          </w:p>
          <w:p>
            <w:pPr/>
            <w:r>
              <w:rPr/>
              <w:t xml:space="preserve">Falkland, Südgeorgien, Antarktis: 1.495 €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€ 11.695</w:t>
            </w:r>
          </w:p>
        </w:tc>
        <w:tc>
          <w:tcPr>
            <w:tcW w:w="1500" w:type="dxa"/>
          </w:tcPr>
          <w:p>
            <w:pPr>
              <w:spacing w:before="50" w:after="50"/>
            </w:pPr>
            <w:r>
              <w:rPr>
                <w:strike/>
              </w:rPr>
              <w:t xml:space="preserve">€ 13.695</w:t>
            </w:r>
          </w:p>
        </w:tc>
        <w:tc>
          <w:tcPr>
            <w:tcW w:w="1500" w:type="dxa"/>
          </w:tcPr>
          <w:p>
            <w:pPr>
              <w:spacing w:before="50" w:after="50"/>
            </w:pPr>
            <w:r>
              <w:rPr>
                <w:strike/>
              </w:rPr>
              <w:t xml:space="preserve">€ 20.395</w:t>
            </w:r>
          </w:p>
        </w:tc>
        <w:tc>
          <w:tcPr>
            <w:tcW w:w="1500" w:type="dxa"/>
          </w:tcPr>
          <w:p>
            <w:pPr>
              <w:spacing w:before="50" w:after="50"/>
            </w:pPr>
            <w:r>
              <w:rPr>
                <w:strike/>
              </w:rPr>
              <w:t xml:space="preserve">€ 14.495</w:t>
            </w:r>
          </w:p>
        </w:tc>
        <w:tc>
          <w:tcPr>
            <w:tcW w:w="1500" w:type="dxa"/>
          </w:tcPr>
          <w:p>
            <w:pPr>
              <w:spacing w:before="50" w:after="50"/>
            </w:pPr>
            <w:r>
              <w:rPr>
                <w:strike/>
              </w:rPr>
              <w:t xml:space="preserve">€ 14.695</w:t>
            </w:r>
          </w:p>
        </w:tc>
        <w:tc>
          <w:tcPr>
            <w:tcW w:w="1500" w:type="dxa"/>
          </w:tcPr>
          <w:p>
            <w:pPr>
              <w:spacing w:before="50" w:after="50"/>
            </w:pPr>
            <w:r>
              <w:rPr>
                <w:strike/>
              </w:rPr>
              <w:t xml:space="preserve">€ 16.495</w:t>
            </w:r>
          </w:p>
        </w:tc>
        <w:tc>
          <w:tcPr>
            <w:tcW w:w="1500" w:type="dxa"/>
          </w:tcPr>
          <w:p>
            <w:pPr>
              <w:spacing w:before="50" w:after="50"/>
            </w:pPr>
            <w:r>
              <w:rPr>
                <w:strike/>
              </w:rPr>
              <w:t xml:space="preserve">€ 17.695</w:t>
            </w:r>
          </w:p>
        </w:tc>
        <w:tc>
          <w:tcPr>
            <w:tcW w:w="1500" w:type="dxa"/>
          </w:tcPr>
          <w:p>
            <w:pPr>
              <w:spacing w:before="50" w:after="50"/>
            </w:pPr>
            <w:r>
              <w:rPr>
                <w:strike/>
              </w:rPr>
              <w:t xml:space="preserve">€ 21.995</w:t>
            </w:r>
          </w:p>
        </w:tc>
      </w:tr>
      <w:tr>
        <w:trPr/>
        <w:tc>
          <w:tcPr>
            <w:tcW w:w="1500" w:type="dxa"/>
          </w:tcPr>
          <w:p>
            <w:pPr>
              <w:spacing w:before="50" w:after="50"/>
            </w:pPr>
            <w:r>
              <w:rPr/>
              <w:t xml:space="preserve">€ 9.941</w:t>
            </w:r>
          </w:p>
        </w:tc>
        <w:tc>
          <w:tcPr>
            <w:tcW w:w="1500" w:type="dxa"/>
          </w:tcPr>
          <w:p>
            <w:pPr>
              <w:spacing w:before="50" w:after="50"/>
            </w:pPr>
            <w:r>
              <w:rPr/>
              <w:t xml:space="preserve">€ 10.271</w:t>
            </w:r>
          </w:p>
        </w:tc>
        <w:tc>
          <w:tcPr>
            <w:tcW w:w="1500" w:type="dxa"/>
          </w:tcPr>
          <w:p>
            <w:pPr>
              <w:spacing w:before="50" w:after="50"/>
            </w:pPr>
            <w:r>
              <w:rPr/>
              <w:t xml:space="preserve">€ 15.296</w:t>
            </w:r>
          </w:p>
        </w:tc>
        <w:tc>
          <w:tcPr>
            <w:tcW w:w="1500" w:type="dxa"/>
          </w:tcPr>
          <w:p>
            <w:pPr>
              <w:spacing w:before="50" w:after="50"/>
            </w:pPr>
            <w:r>
              <w:rPr/>
              <w:t xml:space="preserve">€ 10.871</w:t>
            </w:r>
          </w:p>
        </w:tc>
        <w:tc>
          <w:tcPr>
            <w:tcW w:w="1500" w:type="dxa"/>
          </w:tcPr>
          <w:p>
            <w:pPr>
              <w:spacing w:before="50" w:after="50"/>
            </w:pPr>
            <w:r>
              <w:rPr/>
              <w:t xml:space="preserve">€ 11.021</w:t>
            </w:r>
          </w:p>
        </w:tc>
        <w:tc>
          <w:tcPr>
            <w:tcW w:w="1500" w:type="dxa"/>
          </w:tcPr>
          <w:p>
            <w:pPr>
              <w:spacing w:before="50" w:after="50"/>
            </w:pPr>
            <w:r>
              <w:rPr/>
              <w:t xml:space="preserve">€ 12.371</w:t>
            </w:r>
          </w:p>
        </w:tc>
        <w:tc>
          <w:tcPr>
            <w:tcW w:w="1500" w:type="dxa"/>
          </w:tcPr>
          <w:p>
            <w:pPr>
              <w:spacing w:before="50" w:after="50"/>
            </w:pPr>
            <w:r>
              <w:rPr/>
              <w:t xml:space="preserve">€ 13.271</w:t>
            </w:r>
          </w:p>
        </w:tc>
        <w:tc>
          <w:tcPr>
            <w:tcW w:w="1500" w:type="dxa"/>
          </w:tcPr>
          <w:p>
            <w:pPr>
              <w:spacing w:before="50" w:after="50"/>
            </w:pPr>
            <w:r>
              <w:rPr/>
              <w:t xml:space="preserve">€ 16.496</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in der gebuchten Kabinenkategorie</w:t>
            </w:r>
          </w:p>
          <w:p>
            <w:pPr/>
            <w:r>
              <w:rPr/>
              <w:t xml:space="preserve">Alle Mahlzeiten an Bord während der 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19D6EB5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2026-07-21T03:24:24+03:00</dcterms:created>
  <dcterms:modified xsi:type="dcterms:W3CDTF">2026-07-21T03:24:24+03:00</dcterms:modified>
</cp:coreProperties>
</file>

<file path=docProps/custom.xml><?xml version="1.0" encoding="utf-8"?>
<Properties xmlns="http://schemas.openxmlformats.org/officeDocument/2006/custom-properties" xmlns:vt="http://schemas.openxmlformats.org/officeDocument/2006/docPropsVTypes"/>
</file>