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Antarktische Halbinsel - 7. Kontinent</w:t>
      </w:r>
    </w:p>
    <w:p>
      <w:pPr>
        <w:jc w:val="center"/>
      </w:pPr>
      <w:r>
        <w:rPr>
          <w:rFonts w:ascii="Arial" w:hAnsi="Arial" w:eastAsia="Arial" w:cs="Arial"/>
          <w:sz w:val="32"/>
          <w:szCs w:val="32"/>
          <w:b/>
        </w:rPr>
        <w:t xml:space="preserve">Im Reich der Pinguine und Eisberge</w:t>
      </w:r>
    </w:p>
    <w:p>
      <w:pPr>
        <w:jc w:val="center"/>
      </w:pPr>
      <w:r>
        <w:rPr>
          <w:rFonts w:ascii="Arial" w:hAnsi="Arial" w:eastAsia="Arial" w:cs="Arial"/>
          <w:sz w:val="26"/>
          <w:szCs w:val="26"/>
          <w:b/>
        </w:rPr>
        <w:t xml:space="preserve">28 Feb - 10 Mär 2028</w:t>
      </w:r>
    </w:p>
    <w:p>
      <w:pPr>
        <w:jc w:val="center"/>
      </w:pPr>
      <w:r>
        <w:rPr>
          <w:rFonts w:ascii="Arial" w:hAnsi="Arial" w:eastAsia="Arial" w:cs="Arial"/>
          <w:sz w:val="26"/>
          <w:szCs w:val="26"/>
          <w:b/>
        </w:rPr>
        <w:t xml:space="preserve">12 Tage</w:t>
      </w:r>
    </w:p>
    <w:p>
      <w:pPr>
        <w:jc w:val="center"/>
      </w:pPr>
      <w:r>
        <w:rPr>
          <w:rFonts w:ascii="Arial" w:hAnsi="Arial" w:eastAsia="Arial" w:cs="Arial"/>
          <w:sz w:val="26"/>
          <w:szCs w:val="26"/>
          <w:b/>
        </w:rPr>
        <w:t xml:space="preserve">Einschiffung: Ushuaia (Argentinien)</w:t>
      </w:r>
    </w:p>
    <w:p>
      <w:pPr>
        <w:jc w:val="center"/>
      </w:pPr>
      <w:r>
        <w:rPr>
          <w:rFonts w:ascii="Arial" w:hAnsi="Arial" w:eastAsia="Arial" w:cs="Arial"/>
          <w:sz w:val="26"/>
          <w:szCs w:val="26"/>
          <w:b/>
        </w:rPr>
        <w:t xml:space="preserve">Ausschiffung: Ushuaia (Argentinien)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0" o:title=""/>
                </v:shape>
              </w:pict>
            </w:r>
            <w:r>
              <w:rPr>
                <w:rFonts w:ascii="Arial" w:hAnsi="Arial" w:eastAsia="Arial" w:cs="Arial"/>
                <w:sz w:val="22"/>
                <w:szCs w:val="22"/>
                <w:b/>
              </w:rPr>
              <w:t xml:space="preserve">Tag 1 (28. Febr.): Ushuaia, Argentinien</w:t>
            </w:r>
          </w:p>
          <w:p>
            <w:pPr/>
            <w:r>
              <w:rPr/>
              <w:t xml:space="preserve">	 Willkommen in Ushuaia, der südlichsten Stadt der Welt und Ausgangspunkt unserer Antarktisexpedition! Nach Ihrer Ankunft am Flughafen werden Sie von unseren Mitarbeitern begrüßt und in ein hochwertiges Hotel gebracht, das von uns gebucht wurde und im Reisepreis enthalten ist. Der Rest des Tages steht Ihnen zur freien Verfügung, um diese pulsierende Hafenstadt und Ausgangspunkt unserer Expeditionsreise zu erkunden.</w:t>
            </w:r>
          </w:p>
          <w:p>
            <w:pPr/>
            <w:r>
              <w:rPr/>
              <w:t xml:space="preserve">	 Im Hafen von Ushuaia werden Sie wahrscheinlich schon den ersten Blick auf unser Expeditions-Kreuzfahrtschiff werfen können, mit dem Sie Richtung Antarktis starten. </w:t>
            </w:r>
          </w:p>
          <w:p>
            <w:pPr/>
            <w:r>
              <w:rPr/>
              <w:t xml:space="preserve">	 Für eine Einführung in die lokale Geschichte und Tierwelt lohnt sich ein Besuch des interessanten Museo del Fin del Mundo. Wenn Sie noch Zeit haben, können Sie eine Vielzahl von Aktivitäten in der Natur unternehmen, Wandern im nahe gelegenen Feuerland-Nationalpark oder Tierbeobachtung im Beagle-Kanal. Zum Abendessen gibt es in Ushuaia eine große Auswahl an Restaurants, die patagonisches Lamm und köstliche Meeresfrüchte anbieten.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2 (29. Febr): Einschiffung in Ushuaia</w:t>
            </w:r>
          </w:p>
          <w:p>
            <w:pPr/>
            <w:r>
              <w:rPr/>
              <w:t xml:space="preserve">	 Nach dem Frühstück in Ihrem Hotel steht Ihnen der Vormittag zur freien Verfügung, um Ushuaia zu erkunden. Erkunden Sie die reizvolle Uferpromenade und genießen Sie den Blick auf die schneebedeckte Martial Range, die südlichsten Gipfel der Anden. Nutzen Sie die Gelegenheit zum Einkaufen von Souvenirs oder von Dingen, die Sie in letzter Minute noch brauchen, z. B. Kleidung für kaltes Wetter. Denken Sie nur daran, dass Sie bald Ihren eigenen Parka erhalten, den Sie behalten können, und wasserdichte Stiefel, die Sie sich an Bord des Schiffes ausleihen können. Mittags können Sie in den zahlreichen Cafés, Parrillas und Eisdielen auf der Avenida San Martín zu Mittag essen.</w:t>
            </w:r>
          </w:p>
          <w:p>
            <w:pPr/>
            <w:r>
              <w:rPr/>
              <w:t xml:space="preserve">	 Am Nachmittag werden Sie zur Anlegestelle gebracht, wo wir Sie an Bord des Expeditionsschiffs M/V Sea Spirit herzlich willkommen heißen. Richten Sie sich in Ihrer geräumigen Suite ein und erkunden Sie das Schiff, das während des bevorstehenden außergewöhnlichen Abenteuers Ihr komfortables Zuhause sein wird. Nachdem Sie an Bord gegangen sind, beginnt ein volles Programm mit informativen Briefings und Einführungen durch Ihre Guides. Nach dem Abendessen an Bord können Sie Deck, die Landschaft und das herrliche Abendlicht bewundern, während wir den Beagle-Kanal durchfahren.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3-4 (01. bis 02. März): Überquerung der Drakepassage</w:t>
            </w:r>
          </w:p>
          <w:p>
            <w:pPr/>
            <w:r>
              <w:rPr/>
              <w:t xml:space="preserve">	 Nachdem wir die Inseln Feuerlands passiert haben, geht es Richtung Süden in die Drake-Passage. Unterwegs halten wir Ausschau nach Buckel- und Finnwalen. Der majestätische Wanderalbatros und andere anmutige subantarktische Seevögel sind in diesen Gewässern häufig anzutreffen und können von den offenen Panoramadecks und Balkonen aus gut beobachtet werden. Die Stabilisatoren der Sea Spirit sorgen bei bewegter See für zusätzliche Stabilität. Während der Überfahrt gibt Ihnen das Expeditionsteam Informationen über Ihre Reise, sowie eine Einführungen in das Verhalten an später an Land. Erste Vorträge der erfahrenen Lektoren stimmen Sie auf die Ankunft in der Antarktis ein! Wir hoffen, die Südshetlandinseln am Abend unseres zweiten Tages auf See zu erreichen.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5-9 (03. bis 07. März): Südshetlandinseln und die Antarktische Halbinsel</w:t>
            </w:r>
          </w:p>
          <w:p>
            <w:pPr/>
            <w:r>
              <w:rPr/>
              <w:t xml:space="preserve">	 Die Expedition beginnt! Die Route der Kreuzfahrt in der Antarktis hängt stark vom Wetter und von den Eiskonditionen ab. Ihr erfahrener Kapitän und der Expeditionsleiter legen vor Ort täglich neu die Route und Anlandungen fest und planen nach den örtlichen Konditionen, um das beste Expeditionserlebnis bieten zu können. Die langen Tage werden genutzt um die unglaubliche Tierwelt neben den Anlandungen auch mit den stabilen Zodiacs zu erkunden. 	 In der Region der Antarktischen Halbinsel trifft man auf eine der schönsten Landschaften der Welt. Geschützte Buchten und enge Kanäle werden von hohen und schneebedeckten Bergen eingeschlossen. Gletscher erreichen das Meer und Eisberge jeder Größe und Form treiben im Wasser. Das kalte Wasser bietet einen idealen Lebensgrund für Krill, Wale und viele Robbenarten. Pinguine bevölkern große Kolonien und können auch im Meer beobachtet werden. Aber auch einige Forschungsstationen bieten die Möglichkeit eines Besuches an und von hier kann man oft auch eine Postkarte verschicken. 	 Die Südshetlandinseln ist die nördlichste Inselgruppe der Antarktis und wird wahrscheinlich auch für Sie das erste Land sein, das wir vom Expeditions-Kreuzfahrtschiff aus sichten – ganz auf den Spuren der historischen Seefahrer. Diese schöne Inselkette bietet unzählige Anlandeplätze mit hoher Artenvielfalt und von geschichtlicher Bedeutung. Ein Höhepunkt ist die Insel Deception; ein aktiver Vulkan, dessen Caldera geflutet ist und die Überreste einer verlassenen Walfangstation beherbergt. 	 Weiter südlich an der Antarktischen Halbinsel finden wir die Gerlach-Straße mit interessanten, oft windgeschützten und tierreichen Buchten und unvergesslicher Landschaft. Namen wie die Paradiesbucht bringen es auf den Punkt, denn sie zeigen von Gletschern bedeckte Berge, große Eisberge, oft Wale auf Nahrungssuche, Robben auf Eisschollen und geschäftige Pinguinkolonien. 	 Weiter südlich der Gerlach-Straße liegt der bekannte Lemairekanal. Der enge, wunderschön gelegene Kanal wird auch "Kodak Gap" genannt aufgrund der Unmengen von Fotos, die hier geknipst werden. 	 Die Tage in der Antarktis sind ausgefüllt mit Aktivitäten, die man nicht vergessen wird. Genießen Sie daneben das gute Essen an Bord, die Vorträge Ihres Expeditionsteams, Gespräche mit den Mitreisenden und lassen Sie sich vom „Polarvirus“ infizieren.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10-11 (08. bis 09. März): Überquerung der Drakepassage</w:t>
            </w:r>
          </w:p>
          <w:p>
            <w:pPr/>
            <w:r>
              <w:rPr/>
              <w:t xml:space="preserve">	 Jetzt ist es an der Zeit, durch die Drake-Passage zurück nach Südamerika zu fahren, aber das Abenteuer ist noch nicht ganz vorbei. Seevögel sind unsere ständigen Begleiter und es besteht immer die Möglichkeit, in diesen wilden Gewässern auf Wale zu treffen. Dies ist auch die Zeit für Feierlichkeiten wie den Captain's Farewell Cocktail und die Diashow zum Ende der Reise. Schließlich fahren wir in den ruhigen Beagle-Kanal ein und genießen eine ruhige Nacht auf dem Weg nach Ushuaia.</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12 (10. März): Ausschiffung in Ushuaia, Argentinien</w:t>
            </w:r>
          </w:p>
          <w:p>
            <w:pPr/>
            <w:r>
              <w:rPr/>
              <w:t xml:space="preserve">	 Ushuaia ist am frühen Morgen wieder erreicht, nach dem Frühstück heißt es Abschied zu nehmen. Ein gemeinsamer Transfer bringt Sie je nach Wunsch zum Flughafen oder zum Stadtzentrum. Wenn Sie auf die Reise zurück blicken, planen Sie sich vielleicht schon auf Ihre nächste Expeditionskreuzfahrt ins Eis!</w:t>
            </w:r>
          </w:p>
          <w:p>
            <w:pPr/>
            <w:r>
              <w:rPr/>
              <w:t xml:space="preserve"> Hinweis für die Buchung Ihres Rückflugs: Ihre Ausschiffung findet in der Regel zwischen 8 - 9 Uhr (nach dem Frühstück) statt. Wir empfehlen, den Rückflug ab Ushuaia frühestens ab 12 Uhr mittags zu buchen.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6"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7"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18"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5" o:title=""/>
                </v:shape>
              </w:pict>
            </w:r>
          </w:p>
        </w:tc>
        <w:tc>
          <w:tcPr>
            <w:tcW w:w="6000" w:type="dxa"/>
          </w:tcPr>
          <w:p>
            <w:pPr/>
            <w:r>
              <w:rPr>
                <w:rFonts w:ascii="Arial" w:hAnsi="Arial" w:eastAsia="Arial" w:cs="Arial"/>
                <w:sz w:val="32"/>
                <w:szCs w:val="32"/>
                <w:b/>
              </w:rPr>
              <w:t xml:space="preserve">Anreisepaket</w:t>
            </w:r>
          </w:p>
          <w:p>
            <w:pPr/>
            <w:r>
              <w:rPr/>
              <w:t xml:space="preserve">	 Wir buchen für Sie passende An-Abreisepakete zur Expeditionsreise ab/bis Deutschland/Österreich/Schweiz.</w:t>
            </w:r>
          </w:p>
          <w:p>
            <w:pPr/>
            <w:r>
              <w:rPr/>
              <w:t xml:space="preserve">	 Reisen Sie bequem an. Wir planen Ihre An-/Abreise und buchen Ihnen passend zum Flug auch Transfers und Hotelübernachtungen. Außerdem können Verlängerungsnächte, City Touren und Business Class zusätzlich gegen einen Aufpreis gebucht werden.</w:t>
            </w:r>
          </w:p>
          <w:p>
            <w:pPr/>
            <w:r>
              <w:rPr/>
              <w:t xml:space="preserve">	 Mehr zu Flügen, Sitzplätzen und Reisegepäck erfahren Sie in unserer Rubrik</w:t>
            </w:r>
            <w:r>
              <w:rPr/>
              <w:t xml:space="preserve"> </w:t>
            </w:r>
            <w:r>
              <w:rPr/>
              <w:t xml:space="preserve">An-/Abreise.</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6" o:title=""/>
                </v:shape>
              </w:pict>
            </w:r>
          </w:p>
        </w:tc>
        <w:tc>
          <w:tcPr>
            <w:tcW w:w="6000" w:type="dxa"/>
          </w:tcPr>
          <w:p>
            <w:pPr/>
            <w:r>
              <w:rPr>
                <w:rFonts w:ascii="Arial" w:hAnsi="Arial" w:eastAsia="Arial" w:cs="Arial"/>
                <w:sz w:val="32"/>
                <w:szCs w:val="32"/>
                <w:b/>
              </w:rPr>
              <w:t xml:space="preserve"/>
            </w:r>
          </w:p>
          <w:p>
            <w:pPr/>
            <w:r>
              <w:rPr/>
              <w:t xml:space="preserve">	 Alleinreisen heißt nicht, einsam zu sein</w:t>
            </w:r>
          </w:p>
          <w:p>
            <w:pPr/>
            <w:r>
              <w:rPr/>
              <w:t xml:space="preserve"> </w:t>
            </w:r>
            <w:r>
              <w:rPr/>
              <w:t xml:space="preserve">Reisen Sie gemeinsam – und sparen Sie!</w:t>
            </w:r>
          </w:p>
          <w:p>
            <w:pPr/>
            <w:r>
              <w:rPr/>
              <w:t xml:space="preserve">	 Haben Sie schon immer von Einer Reise in die Arktis oder Antarktis geträumt und Ihr Partner möchte nicht mit oder Sie reisen allein. Dann sind Sie nicht allein! Wir vermitteln Ihnen gerne einen gleichgesinnten Reisenden gleichen Geschlechts in Ihrer gewählten Kabinenkategorie. (Verfügbar für Dreibett-, Maindeck-, Classic- und Superior-Kabinen).</w:t>
            </w:r>
          </w:p>
          <w:p>
            <w:pPr/>
            <w:r>
              <w:rPr/>
              <w:t xml:space="preserve"> </w:t>
            </w:r>
            <w:r>
              <w:rPr/>
              <w:t xml:space="preserve">Oder Sie entdecken die Welt ganz nach Ihren Wünschen – mit einer Suite für sich allein.</w:t>
            </w:r>
          </w:p>
          <w:p>
            <w:pPr/>
            <w:r>
              <w:rPr/>
              <w:t xml:space="preserve">	 Für mehr Privatsphäre können Sie eine Suite buchen, die speziell für Alleinreisende konzipiert ist.</w:t>
            </w:r>
          </w:p>
          <w:p>
            <w:pPr/>
            <w:r>
              <w:rPr/>
              <w:t xml:space="preserve">	 Oder wählen Sie eine andere Kabinenkategorie für sich allein mit unserem Einzelkabinenzuschlag:</w:t>
            </w:r>
          </w:p>
          <w:p>
            <w:pPr/>
            <w:r>
              <w:rPr/>
              <w:t xml:space="preserve">	</w:t>
            </w:r>
          </w:p>
          <w:p>
            <w:pPr>
              <w:numPr>
                <w:ilvl w:val="0"/>
                <w:numId w:val="5"/>
              </w:numPr>
            </w:pPr>
            <w:r>
              <w:rPr/>
              <w:t xml:space="preserve">	Maindeck-, Classic- und Superior-Suiten: x1,7</w:t>
            </w:r>
          </w:p>
          <w:p>
            <w:pPr/>
            <w:r>
              <w:rPr/>
              <w:t xml:space="preserve">	</w:t>
            </w:r>
          </w:p>
          <w:p>
            <w:pPr>
              <w:numPr>
                <w:ilvl w:val="0"/>
                <w:numId w:val="5"/>
              </w:numPr>
            </w:pPr>
            <w:r>
              <w:rPr/>
              <w:t xml:space="preserve">	Deluxe-, Premium- und Owner’s-Suite: x2</w:t>
            </w:r>
          </w:p>
          <w:p>
            <w:pPr/>
          </w:p>
          <w:p>
            <w:pPr/>
            <w:r>
              <w:rPr/>
              <w:t xml:space="preserve">	 Erleben Sie gemeinsame Abenteuer an Land und tauschen Sie Geschichten beim Abendessen aus, während Sie gleichzeitig den Komfort und die Privatsphäre Ihrer eigenen Kabine genießen.</w:t>
            </w:r>
          </w:p>
          <w:p>
            <w:pPr/>
            <w:r>
              <w:rPr/>
              <w:t xml:space="preserve">	 Ob allein oder in Begleitung: Auf einem kleinen Schiff sind Sie von Gleichgesinnten umgeben, die Ihre Leidenschaft für Entdeckungen teilen. Kehren Sie nicht nur mit unvergesslichen Erinnerungen, sondern auch mit Freundschaften fürs Leben zurück.</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7"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8" o:title=""/>
                </v:shape>
              </w:pict>
            </w:r>
          </w:p>
        </w:tc>
        <w:tc>
          <w:tcPr>
            <w:tcW w:w="6000" w:type="dxa"/>
          </w:tcPr>
          <w:p>
            <w:pPr/>
            <w:r>
              <w:rPr>
                <w:rFonts w:ascii="Arial" w:hAnsi="Arial" w:eastAsia="Arial" w:cs="Arial"/>
                <w:sz w:val="32"/>
                <w:szCs w:val="32"/>
                <w:b/>
              </w:rPr>
              <w:t xml:space="preserve">Sea Kayak Club</w:t>
            </w:r>
          </w:p>
          <w:p>
            <w:pPr/>
            <w:r>
              <w:rPr/>
              <w:t xml:space="preserve">KAYAKING IN DER ANTARKTIS SAISON 2027/28 (OPTIONALE AKTIVITÄT)</w:t>
            </w:r>
          </w:p>
          <w:p>
            <w:pPr/>
            <w:r>
              <w:rPr/>
              <w:t xml:space="preserve"> </w:t>
            </w:r>
          </w:p>
          <w:p>
            <w:pPr/>
            <w:r>
              <w:rPr/>
              <w:t xml:space="preserve"> </w:t>
            </w:r>
          </w:p>
          <w:p>
            <w:pPr/>
            <w:r>
              <w:rPr/>
              <w:t xml:space="preserve"> </w:t>
            </w:r>
          </w:p>
          <w:p>
            <w:pPr/>
            <w:r>
              <w:rPr/>
              <w:t xml:space="preserve">Antarktische Halbinsel: 1.395 € p. P.</w:t>
            </w:r>
          </w:p>
          <w:p>
            <w:pPr/>
            <w:r>
              <w:rPr/>
              <w:t xml:space="preserve"> </w:t>
            </w:r>
          </w:p>
          <w:p>
            <w:pPr/>
            <w:r>
              <w:rPr/>
              <w:t xml:space="preserve"> </w:t>
            </w:r>
          </w:p>
          <w:p>
            <w:pPr/>
            <w:r>
              <w:rPr/>
              <w:t xml:space="preserve"> </w:t>
            </w:r>
          </w:p>
          <w:p>
            <w:pPr/>
            <w:r>
              <w:rPr/>
              <w:t xml:space="preserve">Falkland, Südgeorgien, Antarktis: 1.495 € p. P.</w:t>
            </w:r>
          </w:p>
          <w:p>
            <w:pPr/>
            <w:r>
              <w:rPr/>
              <w:t xml:space="preserve"> </w:t>
            </w:r>
          </w:p>
          <w:p>
            <w:pPr/>
            <w:r>
              <w:rPr/>
              <w:t xml:space="preserve">	 Lieben Sie das Abenteuer und suchen Sie nach der Stille und Beschaulichkeit einer Seekajak-Fahrt in den Polarregionen? Dann sind Sie bei uns im Sea Kayak Club genau richtig! Mit Poseidon Expeditions, einem der Weltmarktführer in Expeditionskreuzfahrten, haben Sie an Bord der elegant-komfortablen MS Sea Spirit mit dieser Abenteuer-Option die die Möglichkeit die außerordentlich-spektakulären Paddel-Destinationen der Antarktis und der Arktis selbst zu erobern. 	 Eine Seekajak-Fahrt ist eine einmalige Gelegenheit die beeindruckenden Landschaften und Naturwelten der Polarregionen selbst hautnah zu erleben: die imposanten Eisberge, gewaltige Gletscher, knisterndes Packeis und sowie die faszinierende Tierwelt in ihrem natürlichen Lebensraum. Die Mitgliedschaft im Sea Kayak Club ermöglicht es Ihnen, die Polarregionen auf eine ganz andere Art und Weise zu entdecken — sicher und komfortabel — im Rahmen einer professionell geführten Kajak-Tour. Erleben Sie das Abenteuer Ihres Lebens und paddeln Sie mit uns in unseren Kleingruppen an einige der atemberaubendsten Wildnis-Schauplätze der Welt. Begleiten Sie uns auf unseren Expeditionsfahrten und entdecken Sie Ihr eigenes polares Paradies!</w:t>
            </w:r>
          </w:p>
        </w:tc>
      </w:tr>
    </w:tbl>
    <w:p>
      <w:r>
        <w:br w:type="page"/>
      </w:r>
    </w:p>
    <w:p>
      <w:pPr/>
      <w:r>
        <w:rPr>
          <w:rFonts w:ascii="Arial" w:hAnsi="Arial" w:eastAsia="Arial" w:cs="Arial"/>
          <w:sz w:val="32"/>
          <w:szCs w:val="32"/>
          <w:b/>
        </w:rPr>
        <w:t xml:space="preserve">Preise</w:t>
      </w:r>
    </w:p>
    <w:tbl>
      <w:tblGrid>
        <w:gridCol w:w="1500" w:type="dxa"/>
        <w:gridCol w:w="1500" w:type="dxa"/>
        <w:gridCol w:w="1500" w:type="dxa"/>
        <w:gridCol w:w="1500" w:type="dxa"/>
        <w:gridCol w:w="1500" w:type="dxa"/>
        <w:gridCol w:w="1500" w:type="dxa"/>
        <w:gridCol w:w="1500" w:type="dxa"/>
        <w:gridCol w:w="1500" w:type="dxa"/>
      </w:tblGrid>
      <w:tblPr>
        <w:tblStyle w:val="Rates Table"/>
      </w:tblPr>
      <w:tr>
        <w:trPr/>
        <w:tc>
          <w:tcPr>
            <w:tcW w:w="1500" w:type="dxa"/>
          </w:tcPr>
          <w:p>
            <w:pPr/>
            <w:r>
              <w:rPr>
                <w:b/>
              </w:rPr>
              <w:t xml:space="preserve">Classic Dreibett Suite</w:t>
            </w:r>
          </w:p>
        </w:tc>
        <w:tc>
          <w:tcPr>
            <w:tcW w:w="1500" w:type="dxa"/>
          </w:tcPr>
          <w:p>
            <w:pPr/>
            <w:r>
              <w:rPr>
                <w:b/>
              </w:rPr>
              <w:t xml:space="preserve">Maindeck Suite</w:t>
            </w:r>
          </w:p>
        </w:tc>
        <w:tc>
          <w:tcPr>
            <w:tcW w:w="1500" w:type="dxa"/>
          </w:tcPr>
          <w:p>
            <w:pPr/>
            <w:r>
              <w:rPr>
                <w:b/>
              </w:rPr>
              <w:t xml:space="preserve">Single Suite</w:t>
            </w:r>
          </w:p>
        </w:tc>
        <w:tc>
          <w:tcPr>
            <w:tcW w:w="1500" w:type="dxa"/>
          </w:tcPr>
          <w:p>
            <w:pPr/>
            <w:r>
              <w:rPr>
                <w:b/>
              </w:rPr>
              <w:t xml:space="preserve">Classic Suite</w:t>
            </w:r>
          </w:p>
        </w:tc>
        <w:tc>
          <w:tcPr>
            <w:tcW w:w="1500" w:type="dxa"/>
          </w:tcPr>
          <w:p>
            <w:pPr/>
            <w:r>
              <w:rPr>
                <w:b/>
              </w:rPr>
              <w:t xml:space="preserve">Superior Suite</w:t>
            </w:r>
          </w:p>
        </w:tc>
        <w:tc>
          <w:tcPr>
            <w:tcW w:w="1500" w:type="dxa"/>
          </w:tcPr>
          <w:p>
            <w:pPr/>
            <w:r>
              <w:rPr>
                <w:b/>
              </w:rPr>
              <w:t xml:space="preserve">Deluxe Suite</w:t>
            </w:r>
          </w:p>
        </w:tc>
        <w:tc>
          <w:tcPr>
            <w:tcW w:w="1500" w:type="dxa"/>
          </w:tcPr>
          <w:p>
            <w:pPr/>
            <w:r>
              <w:rPr>
                <w:b/>
              </w:rPr>
              <w:t xml:space="preserve">Premium Suite</w:t>
            </w:r>
          </w:p>
        </w:tc>
        <w:tc>
          <w:tcPr>
            <w:tcW w:w="1500" w:type="dxa"/>
          </w:tcPr>
          <w:p>
            <w:pPr/>
            <w:r>
              <w:rPr>
                <w:b/>
              </w:rPr>
              <w:t xml:space="preserve">Eigner Suite</w:t>
            </w:r>
          </w:p>
        </w:tc>
      </w:tr>
      <w:tr>
        <w:trPr/>
        <w:tc>
          <w:tcPr>
            <w:tcW w:w="1500" w:type="dxa"/>
          </w:tcPr>
          <w:p>
            <w:pPr>
              <w:spacing w:before="50" w:after="50"/>
            </w:pPr>
            <w:r>
              <w:rPr>
                <w:strike/>
              </w:rPr>
              <w:t xml:space="preserve">€ 11 695</w:t>
            </w:r>
          </w:p>
        </w:tc>
        <w:tc>
          <w:tcPr>
            <w:tcW w:w="1500" w:type="dxa"/>
          </w:tcPr>
          <w:p>
            <w:pPr>
              <w:spacing w:before="50" w:after="50"/>
            </w:pPr>
            <w:r>
              <w:rPr>
                <w:strike/>
              </w:rPr>
              <w:t xml:space="preserve">€ 13 695</w:t>
            </w:r>
          </w:p>
        </w:tc>
        <w:tc>
          <w:tcPr>
            <w:tcW w:w="1500" w:type="dxa"/>
          </w:tcPr>
          <w:p>
            <w:pPr>
              <w:spacing w:before="50" w:after="50"/>
            </w:pPr>
            <w:r>
              <w:rPr>
                <w:strike/>
              </w:rPr>
              <w:t xml:space="preserve">€ 20 395</w:t>
            </w:r>
          </w:p>
        </w:tc>
        <w:tc>
          <w:tcPr>
            <w:tcW w:w="1500" w:type="dxa"/>
          </w:tcPr>
          <w:p>
            <w:pPr>
              <w:spacing w:before="50" w:after="50"/>
            </w:pPr>
            <w:r>
              <w:rPr>
                <w:strike/>
              </w:rPr>
              <w:t xml:space="preserve">€ 14 495</w:t>
            </w:r>
          </w:p>
        </w:tc>
        <w:tc>
          <w:tcPr>
            <w:tcW w:w="1500" w:type="dxa"/>
          </w:tcPr>
          <w:p>
            <w:pPr>
              <w:spacing w:before="50" w:after="50"/>
            </w:pPr>
            <w:r>
              <w:rPr>
                <w:strike/>
              </w:rPr>
              <w:t xml:space="preserve">€ 14 695</w:t>
            </w:r>
          </w:p>
        </w:tc>
        <w:tc>
          <w:tcPr>
            <w:tcW w:w="1500" w:type="dxa"/>
          </w:tcPr>
          <w:p>
            <w:pPr>
              <w:spacing w:before="50" w:after="50"/>
            </w:pPr>
            <w:r>
              <w:rPr>
                <w:strike/>
              </w:rPr>
              <w:t xml:space="preserve">€ 16 495</w:t>
            </w:r>
          </w:p>
        </w:tc>
        <w:tc>
          <w:tcPr>
            <w:tcW w:w="1500" w:type="dxa"/>
          </w:tcPr>
          <w:p>
            <w:pPr>
              <w:spacing w:before="50" w:after="50"/>
            </w:pPr>
            <w:r>
              <w:rPr>
                <w:strike/>
              </w:rPr>
              <w:t xml:space="preserve">€ 17 695</w:t>
            </w:r>
          </w:p>
        </w:tc>
        <w:tc>
          <w:tcPr>
            <w:tcW w:w="1500" w:type="dxa"/>
          </w:tcPr>
          <w:p>
            <w:pPr>
              <w:spacing w:before="50" w:after="50"/>
            </w:pPr>
            <w:r>
              <w:rPr>
                <w:strike/>
              </w:rPr>
              <w:t xml:space="preserve">€ 21 995</w:t>
            </w:r>
          </w:p>
        </w:tc>
      </w:tr>
      <w:tr>
        <w:trPr/>
        <w:tc>
          <w:tcPr>
            <w:tcW w:w="1500" w:type="dxa"/>
          </w:tcPr>
          <w:p>
            <w:pPr>
              <w:spacing w:before="50" w:after="50"/>
            </w:pPr>
            <w:r>
              <w:rPr/>
              <w:t xml:space="preserve">€ 9 941</w:t>
            </w:r>
          </w:p>
        </w:tc>
        <w:tc>
          <w:tcPr>
            <w:tcW w:w="1500" w:type="dxa"/>
          </w:tcPr>
          <w:p>
            <w:pPr>
              <w:spacing w:before="50" w:after="50"/>
            </w:pPr>
            <w:r>
              <w:rPr/>
              <w:t xml:space="preserve">€ 10 271</w:t>
            </w:r>
          </w:p>
        </w:tc>
        <w:tc>
          <w:tcPr>
            <w:tcW w:w="1500" w:type="dxa"/>
          </w:tcPr>
          <w:p>
            <w:pPr>
              <w:spacing w:before="50" w:after="50"/>
            </w:pPr>
            <w:r>
              <w:rPr/>
              <w:t xml:space="preserve">€ 15 296</w:t>
            </w:r>
          </w:p>
        </w:tc>
        <w:tc>
          <w:tcPr>
            <w:tcW w:w="1500" w:type="dxa"/>
          </w:tcPr>
          <w:p>
            <w:pPr>
              <w:spacing w:before="50" w:after="50"/>
            </w:pPr>
            <w:r>
              <w:rPr/>
              <w:t xml:space="preserve">€ 10 871</w:t>
            </w:r>
          </w:p>
        </w:tc>
        <w:tc>
          <w:tcPr>
            <w:tcW w:w="1500" w:type="dxa"/>
          </w:tcPr>
          <w:p>
            <w:pPr>
              <w:spacing w:before="50" w:after="50"/>
            </w:pPr>
            <w:r>
              <w:rPr/>
              <w:t xml:space="preserve">€ 11 021</w:t>
            </w:r>
          </w:p>
        </w:tc>
        <w:tc>
          <w:tcPr>
            <w:tcW w:w="1500" w:type="dxa"/>
          </w:tcPr>
          <w:p>
            <w:pPr>
              <w:spacing w:before="50" w:after="50"/>
            </w:pPr>
            <w:r>
              <w:rPr/>
              <w:t xml:space="preserve">€ 12 371</w:t>
            </w:r>
          </w:p>
        </w:tc>
        <w:tc>
          <w:tcPr>
            <w:tcW w:w="1500" w:type="dxa"/>
          </w:tcPr>
          <w:p>
            <w:pPr>
              <w:spacing w:before="50" w:after="50"/>
            </w:pPr>
            <w:r>
              <w:rPr/>
              <w:t xml:space="preserve">€ 13 271</w:t>
            </w:r>
          </w:p>
        </w:tc>
        <w:tc>
          <w:tcPr>
            <w:tcW w:w="1500" w:type="dxa"/>
          </w:tcPr>
          <w:p>
            <w:pPr>
              <w:spacing w:before="50" w:after="50"/>
            </w:pPr>
            <w:r>
              <w:rPr/>
              <w:t xml:space="preserve">€ 16 496</w:t>
            </w:r>
          </w:p>
        </w:tc>
      </w:tr>
    </w:tbl>
    <w:p>
      <w:pPr>
        <w:jc w:val="left"/>
      </w:pPr>
      <w:r>
        <w:rPr>
          <w:rFonts w:ascii="Arial" w:hAnsi="Arial" w:eastAsia="Arial" w:cs="Arial"/>
          <w:sz w:val="24"/>
          <w:szCs w:val="24"/>
        </w:rPr>
        <w:t xml:space="preserve">Der Frühbucherrabatt (15% Rabatt auf Dreibett Suite; 25% Rabatt auf Main Deck, Single, Classic, Superior, Deluxe, Premium und Eigner Suite) ist bis zum 30. September 2026 gültig.</w:t>
      </w:r>
    </w:p>
    <w:p>
      <w:pPr>
        <w:jc w:val="left"/>
      </w:pPr>
      <w:r>
        <w:rPr>
          <w:rFonts w:ascii="Arial" w:hAnsi="Arial" w:eastAsia="Arial" w:cs="Arial"/>
          <w:sz w:val="24"/>
          <w:szCs w:val="24"/>
        </w:rPr>
        <w:t xml:space="preserve">
	 Preise pro Person bei Doppelbelegung der Kabine, bzw. Drei-Personen Belegung bei Classic Dreibett Suite (Triple-Kategorie). Einzelkabinenzuschlag: x1,7 auf den aktuellen Preis der Website in Main Deck-, Classic-, und Superior-Suite, x2 in Deluxe-, Premium-, und Eigner-Suite.
 Hinweis Classic Dreibett Suite: Eine gemischtgeschlechtliche Belegung dieser Kabine ist nur bei Buchung von drei Betten möglich (Drei-Personen Belegung). Bei Buchung von weniger als drei Personen werden Reisende nach Geschlecht getrennt mit anderen Herren oder Damen untergebracht.
 Hinweis Main Deck Suite: Es besteht die Möglichkeit, dass der Kapitän bei hohem Seegang oder Meeresstraßen aus Sicherheitsgründen die Schließung der Bullaugen anordnet.
 Hinweis Single Suite: Es besteht die Möglichkeit, dass der Kapitän bei hohem Seegang oder Meeresstraßen aus Sicherheitsgründen die Schließung der Panorama-Fenster anordnet. (Preisvorteil: Durch die kurzzeitige Geräuschentwicklung des Ankers beim an- und ablegen beträgt der Einzelkabinenaufschlag bei der Single Suite nur circa 1,4 gegenüber dem Standard-Einzelkabinenaufschlag von 1,7 bzw. 2).
</w:t>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Gruppentransfer vom Flughafen zum Hotel in Ushuaia am Vortag der Einschiffung (Tag 1)</w:t>
            </w:r>
          </w:p>
          <w:p>
            <w:pPr/>
            <w:r>
              <w:rPr/>
              <w:t xml:space="preserve">Eine Übernachtung inkl. Frühstück vor der Einschiffung (Tag 1) im Hotel Arakur Ushuaia Resort and Spa (Änderungen vorbehalten)</w:t>
            </w:r>
          </w:p>
          <w:p>
            <w:pPr/>
            <w:r>
              <w:rPr/>
              <w:t xml:space="preserve">Gruppentransfer zum Schiff am Tag der Einschiffung (Tag 2)</w:t>
            </w:r>
          </w:p>
          <w:p>
            <w:pPr/>
            <w:r>
              <w:rPr/>
              <w:t xml:space="preserve">Gruppentransfer zum Flughafen oder das Stadtzentrum nach der Ausschiffung in Ushuaia</w:t>
            </w:r>
          </w:p>
          <w:p>
            <w:pPr/>
            <w:r>
              <w:rPr/>
              <w:t xml:space="preserve">Unterbringung in der gebuchten Kabinenkategorie</w:t>
            </w:r>
          </w:p>
          <w:p>
            <w:pPr/>
            <w:r>
              <w:rPr/>
              <w:t xml:space="preserve">Alle Mahlzeiten an Bord während der Reise (FR/M/A)</w:t>
            </w:r>
          </w:p>
          <w:p>
            <w:pPr/>
            <w:r>
              <w:rPr/>
              <w:t xml:space="preserve">All-Inclusive Getränkepaket mit alkoholfreien Getränken, Hauswein, Hausbier und Haus-Spirituosen.</w:t>
            </w:r>
          </w:p>
          <w:p>
            <w:pPr/>
            <w:r>
              <w:rPr/>
              <w:t xml:space="preserve">24-Stunden Wasser-, Tee- und Kaffeestation an Bord</w:t>
            </w:r>
          </w:p>
          <w:p>
            <w:pPr/>
            <w:r>
              <w:rPr/>
              <w:t xml:space="preserve">Alle geplanten Landgänge, Zodiacfahrten, Ausflüge lt. Programm</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Trinkflasche, zur Reduktion von Plastikmüll an Bord (unser Geschenk, das Sie als Andenken behalten dürfen)</w:t>
            </w:r>
          </w:p>
          <w:p>
            <w:pPr/>
            <w:r>
              <w:rPr/>
              <w:t xml:space="preserve">Leihweise original „Arctic Muck Boots“ (o.ä.), komfortable und hochwertige Thermo-Gummistiefel, wasserfest, gefüttert und mit gepolsterter Zwischensohle, für die Landgänge</w:t>
            </w:r>
          </w:p>
          <w:p>
            <w:pPr/>
            <w:r>
              <w:rPr/>
              <w:t xml:space="preserve">Willkommens- und Abschiedscocktail</w:t>
            </w:r>
          </w:p>
          <w:p>
            <w:pPr/>
            <w:r>
              <w:rPr/>
              <w:t xml:space="preserve">Informationsmaterial vor der Reise</w:t>
            </w:r>
          </w:p>
          <w:p>
            <w:pPr/>
            <w:r>
              <w:rPr/>
              <w:t xml:space="preserve">Digitales Logbuch der Reise</w:t>
            </w:r>
          </w:p>
          <w:p>
            <w:pPr/>
            <w:r>
              <w:rPr/>
              <w:t xml:space="preserve">Wi-fi an Bord</w:t>
            </w:r>
          </w:p>
          <w:p>
            <w:pPr/>
            <w:r>
              <w:rPr/>
              <w:t xml:space="preserve">IAATO-Gebühren und staatliche Steuern</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 zum Einschiffungs-/Ausschiffungsort</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beispielsweise für Wäscherei, Kommunikationskosten (Satelliten-Telefon) oder Einkäufe im Bord-Shop</w:t>
            </w:r>
          </w:p>
          <w:p>
            <w:pPr/>
            <w:r>
              <w:rPr/>
              <w:t xml:space="preserve">Visum- oder Passgebühren (falls erforderlich)</w:t>
            </w:r>
          </w:p>
          <w:p>
            <w:pPr/>
            <w:r>
              <w:rPr/>
              <w:t xml:space="preserve">Trinkgelder (freiwillig)</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29"/>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F25D3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png"/><Relationship Id="rId27" Type="http://schemas.openxmlformats.org/officeDocument/2006/relationships/image" Target="media/section_image21.png"/><Relationship Id="rId28" Type="http://schemas.openxmlformats.org/officeDocument/2006/relationships/image" Target="media/section_image22.jpg"/><Relationship Id="rId2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2026-09-15T04:28:32+00:00</dcterms:created>
  <dcterms:modified xsi:type="dcterms:W3CDTF">2026-09-15T04:28:32+00:00</dcterms:modified>
</cp:coreProperties>
</file>

<file path=docProps/custom.xml><?xml version="1.0" encoding="utf-8"?>
<Properties xmlns="http://schemas.openxmlformats.org/officeDocument/2006/custom-properties" xmlns:vt="http://schemas.openxmlformats.org/officeDocument/2006/docPropsVTypes"/>
</file>