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Im Reich der Pinguine und Eisberge</w:t>
      </w:r>
    </w:p>
    <w:p>
      <w:pPr>
        <w:jc w:val="center"/>
      </w:pPr>
      <w:r>
        <w:rPr>
          <w:rFonts w:ascii="Arial" w:hAnsi="Arial" w:eastAsia="Arial" w:cs="Arial"/>
          <w:sz w:val="26"/>
          <w:szCs w:val="26"/>
          <w:b/>
        </w:rPr>
        <w:t xml:space="preserve">26 Jan - 06 Feb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(26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(27.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(28. bis 29. Jan.): Überquerung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(30.Jan. bis 03. Febr.):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Mit unserem wendigen Expeditions-Kreuzfahrtschiff können wir beeindruckende Regionen erreichen und durch die Schlauchboote an Bord, sind wir auf keine Häfen angewiesen.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(04. bis 05. Febr.):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(06. Febr.):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€ 12.895</w:t>
            </w:r>
          </w:p>
        </w:tc>
        <w:tc>
          <w:tcPr>
            <w:tcW w:w="1500" w:type="dxa"/>
          </w:tcPr>
          <w:p>
            <w:pPr>
              <w:spacing w:before="50" w:after="50"/>
            </w:pPr>
            <w:r>
              <w:rPr>
                <w:strike/>
              </w:rPr>
              <w:t xml:space="preserve">€ 15.095</w:t>
            </w:r>
          </w:p>
        </w:tc>
        <w:tc>
          <w:tcPr>
            <w:tcW w:w="1500" w:type="dxa"/>
          </w:tcPr>
          <w:p>
            <w:pPr>
              <w:spacing w:before="50" w:after="50"/>
            </w:pPr>
            <w:r>
              <w:rPr>
                <w:strike/>
              </w:rPr>
              <w:t xml:space="preserve">€ 22.495</w:t>
            </w:r>
          </w:p>
        </w:tc>
        <w:tc>
          <w:tcPr>
            <w:tcW w:w="1500" w:type="dxa"/>
          </w:tcPr>
          <w:p>
            <w:pPr>
              <w:spacing w:before="50" w:after="50"/>
            </w:pPr>
            <w:r>
              <w:rPr>
                <w:strike/>
              </w:rPr>
              <w:t xml:space="preserve">€ 15.995</w:t>
            </w:r>
          </w:p>
        </w:tc>
        <w:tc>
          <w:tcPr>
            <w:tcW w:w="1500" w:type="dxa"/>
          </w:tcPr>
          <w:p>
            <w:pPr>
              <w:spacing w:before="50" w:after="50"/>
            </w:pPr>
            <w:r>
              <w:rPr>
                <w:strike/>
              </w:rPr>
              <w:t xml:space="preserve">€ 16.195</w:t>
            </w:r>
          </w:p>
        </w:tc>
        <w:tc>
          <w:tcPr>
            <w:tcW w:w="1500" w:type="dxa"/>
          </w:tcPr>
          <w:p>
            <w:pPr>
              <w:spacing w:before="50" w:after="50"/>
            </w:pPr>
            <w:r>
              <w:rPr>
                <w:strike/>
              </w:rPr>
              <w:t xml:space="preserve">€ 18.195</w:t>
            </w:r>
          </w:p>
        </w:tc>
        <w:tc>
          <w:tcPr>
            <w:tcW w:w="1500" w:type="dxa"/>
          </w:tcPr>
          <w:p>
            <w:pPr>
              <w:spacing w:before="50" w:after="50"/>
            </w:pPr>
            <w:r>
              <w:rPr>
                <w:strike/>
              </w:rPr>
              <w:t xml:space="preserve">€ 19.395</w:t>
            </w:r>
          </w:p>
        </w:tc>
        <w:tc>
          <w:tcPr>
            <w:tcW w:w="1500" w:type="dxa"/>
          </w:tcPr>
          <w:p>
            <w:pPr>
              <w:spacing w:before="50" w:after="50"/>
            </w:pPr>
            <w:r>
              <w:rPr>
                <w:strike/>
              </w:rPr>
              <w:t xml:space="preserve">€ 24.095</w:t>
            </w:r>
          </w:p>
        </w:tc>
      </w:tr>
      <w:tr>
        <w:trPr/>
        <w:tc>
          <w:tcPr>
            <w:tcW w:w="1500" w:type="dxa"/>
          </w:tcPr>
          <w:p>
            <w:pPr>
              <w:spacing w:before="50" w:after="50"/>
            </w:pPr>
            <w:r>
              <w:rPr/>
              <w:t xml:space="preserve">€ 10.961</w:t>
            </w:r>
          </w:p>
        </w:tc>
        <w:tc>
          <w:tcPr>
            <w:tcW w:w="1500" w:type="dxa"/>
          </w:tcPr>
          <w:p>
            <w:pPr>
              <w:spacing w:before="50" w:after="50"/>
            </w:pPr>
            <w:r>
              <w:rPr/>
              <w:t xml:space="preserve">€ 11.321</w:t>
            </w:r>
          </w:p>
        </w:tc>
        <w:tc>
          <w:tcPr>
            <w:tcW w:w="1500" w:type="dxa"/>
          </w:tcPr>
          <w:p>
            <w:pPr>
              <w:spacing w:before="50" w:after="50"/>
            </w:pPr>
            <w:r>
              <w:rPr/>
              <w:t xml:space="preserve">€ 16.871</w:t>
            </w:r>
          </w:p>
        </w:tc>
        <w:tc>
          <w:tcPr>
            <w:tcW w:w="1500" w:type="dxa"/>
          </w:tcPr>
          <w:p>
            <w:pPr>
              <w:spacing w:before="50" w:after="50"/>
            </w:pPr>
            <w:r>
              <w:rPr/>
              <w:t xml:space="preserve">€ 11.996</w:t>
            </w:r>
          </w:p>
        </w:tc>
        <w:tc>
          <w:tcPr>
            <w:tcW w:w="1500" w:type="dxa"/>
          </w:tcPr>
          <w:p>
            <w:pPr>
              <w:spacing w:before="50" w:after="50"/>
            </w:pPr>
            <w:r>
              <w:rPr/>
              <w:t xml:space="preserve">€ 12.146</w:t>
            </w:r>
          </w:p>
        </w:tc>
        <w:tc>
          <w:tcPr>
            <w:tcW w:w="1500" w:type="dxa"/>
          </w:tcPr>
          <w:p>
            <w:pPr>
              <w:spacing w:before="50" w:after="50"/>
            </w:pPr>
            <w:r>
              <w:rPr/>
              <w:t xml:space="preserve">€ 13.646</w:t>
            </w:r>
          </w:p>
        </w:tc>
        <w:tc>
          <w:tcPr>
            <w:tcW w:w="1500" w:type="dxa"/>
          </w:tcPr>
          <w:p>
            <w:pPr>
              <w:spacing w:before="50" w:after="50"/>
            </w:pPr>
            <w:r>
              <w:rPr/>
              <w:t xml:space="preserve">€ 14.546</w:t>
            </w:r>
          </w:p>
        </w:tc>
        <w:tc>
          <w:tcPr>
            <w:tcW w:w="1500" w:type="dxa"/>
          </w:tcPr>
          <w:p>
            <w:pPr>
              <w:spacing w:before="50" w:after="50"/>
            </w:pPr>
            <w:r>
              <w:rPr/>
              <w:t xml:space="preserve">€ 18.071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Alkoholische und nicht-alkoholische Getränke wie z. b. Softgetränke</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F8C1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2026-07-25T20:00:52+03:00</dcterms:created>
  <dcterms:modified xsi:type="dcterms:W3CDTF">2026-07-25T20:00:52+03:00</dcterms:modified>
</cp:coreProperties>
</file>

<file path=docProps/custom.xml><?xml version="1.0" encoding="utf-8"?>
<Properties xmlns="http://schemas.openxmlformats.org/officeDocument/2006/custom-properties" xmlns:vt="http://schemas.openxmlformats.org/officeDocument/2006/docPropsVTypes"/>
</file>