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08 Dez - 19 Dez 2027</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(08. Dez.):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(09. Dez.):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(10. bis 11. Dez.):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(12. bis 16. Dez.):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Mit unserem wendigen Expeditions-Kreuzfahrtschiff können wir beeindruckende Regionen erreichen und durch die Schlauchboote an Bord, sind wir auf keine Häfen angewiesen.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(17. bis 18. Dez.):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(19. Dez.):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495 €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€ 12 895</w:t>
            </w:r>
          </w:p>
        </w:tc>
        <w:tc>
          <w:tcPr>
            <w:tcW w:w="1500" w:type="dxa"/>
          </w:tcPr>
          <w:p>
            <w:pPr>
              <w:spacing w:before="50" w:after="50"/>
            </w:pPr>
            <w:r>
              <w:rPr>
                <w:strike/>
              </w:rPr>
              <w:t xml:space="preserve">€ 15 095</w:t>
            </w:r>
          </w:p>
        </w:tc>
        <w:tc>
          <w:tcPr>
            <w:tcW w:w="1500" w:type="dxa"/>
          </w:tcPr>
          <w:p>
            <w:pPr>
              <w:spacing w:before="50" w:after="50"/>
            </w:pPr>
            <w:r>
              <w:rPr>
                <w:strike/>
              </w:rPr>
              <w:t xml:space="preserve">€ 22 495</w:t>
            </w:r>
          </w:p>
        </w:tc>
        <w:tc>
          <w:tcPr>
            <w:tcW w:w="1500" w:type="dxa"/>
          </w:tcPr>
          <w:p>
            <w:pPr>
              <w:spacing w:before="50" w:after="50"/>
            </w:pPr>
            <w:r>
              <w:rPr>
                <w:strike/>
              </w:rPr>
              <w:t xml:space="preserve">€ 15 995</w:t>
            </w:r>
          </w:p>
        </w:tc>
        <w:tc>
          <w:tcPr>
            <w:tcW w:w="1500" w:type="dxa"/>
          </w:tcPr>
          <w:p>
            <w:pPr>
              <w:spacing w:before="50" w:after="50"/>
            </w:pPr>
            <w:r>
              <w:rPr>
                <w:strike/>
              </w:rPr>
              <w:t xml:space="preserve">€ 16 195</w:t>
            </w:r>
          </w:p>
        </w:tc>
        <w:tc>
          <w:tcPr>
            <w:tcW w:w="1500" w:type="dxa"/>
          </w:tcPr>
          <w:p>
            <w:pPr>
              <w:spacing w:before="50" w:after="50"/>
            </w:pPr>
            <w:r>
              <w:rPr>
                <w:strike/>
              </w:rPr>
              <w:t xml:space="preserve">€ 18 195</w:t>
            </w:r>
          </w:p>
        </w:tc>
        <w:tc>
          <w:tcPr>
            <w:tcW w:w="1500" w:type="dxa"/>
          </w:tcPr>
          <w:p>
            <w:pPr>
              <w:spacing w:before="50" w:after="50"/>
            </w:pPr>
            <w:r>
              <w:rPr>
                <w:strike/>
              </w:rPr>
              <w:t xml:space="preserve">€ 19 395</w:t>
            </w:r>
          </w:p>
        </w:tc>
        <w:tc>
          <w:tcPr>
            <w:tcW w:w="1500" w:type="dxa"/>
          </w:tcPr>
          <w:p>
            <w:pPr>
              <w:spacing w:before="50" w:after="50"/>
            </w:pPr>
            <w:r>
              <w:rPr>
                <w:strike/>
              </w:rPr>
              <w:t xml:space="preserve">€ 24 095</w:t>
            </w:r>
          </w:p>
        </w:tc>
      </w:tr>
      <w:tr>
        <w:trPr/>
        <w:tc>
          <w:tcPr>
            <w:tcW w:w="1500" w:type="dxa"/>
          </w:tcPr>
          <w:p>
            <w:pPr>
              <w:spacing w:before="50" w:after="50"/>
            </w:pPr>
            <w:r>
              <w:rPr/>
              <w:t xml:space="preserve">€ 10 961</w:t>
            </w:r>
          </w:p>
        </w:tc>
        <w:tc>
          <w:tcPr>
            <w:tcW w:w="1500" w:type="dxa"/>
          </w:tcPr>
          <w:p>
            <w:pPr>
              <w:spacing w:before="50" w:after="50"/>
            </w:pPr>
            <w:r>
              <w:rPr/>
              <w:t xml:space="preserve">€ 11 321</w:t>
            </w:r>
          </w:p>
        </w:tc>
        <w:tc>
          <w:tcPr>
            <w:tcW w:w="1500" w:type="dxa"/>
          </w:tcPr>
          <w:p>
            <w:pPr>
              <w:spacing w:before="50" w:after="50"/>
            </w:pPr>
            <w:r>
              <w:rPr/>
              <w:t xml:space="preserve">€ 16 871</w:t>
            </w:r>
          </w:p>
        </w:tc>
        <w:tc>
          <w:tcPr>
            <w:tcW w:w="1500" w:type="dxa"/>
          </w:tcPr>
          <w:p>
            <w:pPr>
              <w:spacing w:before="50" w:after="50"/>
            </w:pPr>
            <w:r>
              <w:rPr/>
              <w:t xml:space="preserve">€ 11 996</w:t>
            </w:r>
          </w:p>
        </w:tc>
        <w:tc>
          <w:tcPr>
            <w:tcW w:w="1500" w:type="dxa"/>
          </w:tcPr>
          <w:p>
            <w:pPr>
              <w:spacing w:before="50" w:after="50"/>
            </w:pPr>
            <w:r>
              <w:rPr/>
              <w:t xml:space="preserve">€ 12 146</w:t>
            </w:r>
          </w:p>
        </w:tc>
        <w:tc>
          <w:tcPr>
            <w:tcW w:w="1500" w:type="dxa"/>
          </w:tcPr>
          <w:p>
            <w:pPr>
              <w:spacing w:before="50" w:after="50"/>
            </w:pPr>
            <w:r>
              <w:rPr/>
              <w:t xml:space="preserve">€ 13 646</w:t>
            </w:r>
          </w:p>
        </w:tc>
        <w:tc>
          <w:tcPr>
            <w:tcW w:w="1500" w:type="dxa"/>
          </w:tcPr>
          <w:p>
            <w:pPr>
              <w:spacing w:before="50" w:after="50"/>
            </w:pPr>
            <w:r>
              <w:rPr/>
              <w:t xml:space="preserve">€ 14 546</w:t>
            </w:r>
          </w:p>
        </w:tc>
        <w:tc>
          <w:tcPr>
            <w:tcW w:w="1500" w:type="dxa"/>
          </w:tcPr>
          <w:p>
            <w:pPr>
              <w:spacing w:before="50" w:after="50"/>
            </w:pPr>
            <w:r>
              <w:rPr/>
              <w:t xml:space="preserve">€ 18 071</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w:t>
            </w:r>
          </w:p>
          <w:p>
            <w:pPr/>
            <w:r>
              <w:rPr/>
              <w:t xml:space="preserve">Gruppentransfer zum Schiff am Tag der Einschiffung (Tag 2)</w:t>
            </w:r>
          </w:p>
          <w:p>
            <w:pPr/>
            <w:r>
              <w:rPr/>
              <w:t xml:space="preserve">Gruppentransfer zum Flughafen oder das Stadtzentrum nach der Ausschiffung in Ushuaia</w:t>
            </w:r>
          </w:p>
          <w:p>
            <w:pPr/>
            <w:r>
              <w:rPr/>
              <w:t xml:space="preserve">All-Inclusive-Getränkepaket mit alkoholfreien Getränken, Hauswein und -bier sowie Hausspirituosen im Bordrestaurant und an der Bar</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D3D5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2026-09-15T04:27:23+00:00</dcterms:created>
  <dcterms:modified xsi:type="dcterms:W3CDTF">2026-09-15T04:27:23+00:00</dcterms:modified>
</cp:coreProperties>
</file>

<file path=docProps/custom.xml><?xml version="1.0" encoding="utf-8"?>
<Properties xmlns="http://schemas.openxmlformats.org/officeDocument/2006/custom-properties" xmlns:vt="http://schemas.openxmlformats.org/officeDocument/2006/docPropsVTypes"/>
</file>