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Falklandinseln, Südgeorgien &amp; Antarktis</w:t>
      </w:r>
    </w:p>
    <w:p>
      <w:pPr>
        <w:jc w:val="center"/>
      </w:pPr>
      <w:r>
        <w:rPr>
          <w:rFonts w:ascii="Arial" w:hAnsi="Arial" w:eastAsia="Arial" w:cs="Arial"/>
          <w:sz w:val="32"/>
          <w:szCs w:val="32"/>
          <w:b w:val="1"/>
          <w:bCs w:val="1"/>
        </w:rPr>
        <w:t xml:space="preserve">Die ultimative Naturexpedition</w:t>
      </w:r>
    </w:p>
    <w:p>
      <w:pPr>
        <w:jc w:val="center"/>
      </w:pPr>
      <w:r>
        <w:rPr>
          <w:rFonts w:ascii="Arial" w:hAnsi="Arial" w:eastAsia="Arial" w:cs="Arial"/>
          <w:sz w:val="26"/>
          <w:szCs w:val="26"/>
          <w:b w:val="1"/>
          <w:bCs w:val="1"/>
        </w:rPr>
        <w:t xml:space="preserve">09 Nov - 29 Nov 2027</w:t>
      </w:r>
    </w:p>
    <w:p>
      <w:pPr>
        <w:jc w:val="center"/>
      </w:pPr>
      <w:r>
        <w:rPr>
          <w:rFonts w:ascii="Arial" w:hAnsi="Arial" w:eastAsia="Arial" w:cs="Arial"/>
          <w:sz w:val="26"/>
          <w:szCs w:val="26"/>
          <w:b w:val="1"/>
          <w:bCs w:val="1"/>
        </w:rPr>
        <w:t xml:space="preserve">21 Tage</w:t>
      </w:r>
    </w:p>
    <w:p>
      <w:pPr>
        <w:jc w:val="center"/>
      </w:pPr>
      <w:r>
        <w:rPr>
          <w:rFonts w:ascii="Arial" w:hAnsi="Arial" w:eastAsia="Arial" w:cs="Arial"/>
          <w:sz w:val="26"/>
          <w:szCs w:val="26"/>
          <w:b w:val="1"/>
          <w:bCs w:val="1"/>
        </w:rPr>
        <w:t xml:space="preserve">Einschiffung: Ushuaia (Argentinien)</w:t>
      </w:r>
    </w:p>
    <w:p>
      <w:pPr>
        <w:jc w:val="center"/>
      </w:pPr>
      <w:r>
        <w:rPr>
          <w:rFonts w:ascii="Arial" w:hAnsi="Arial" w:eastAsia="Arial" w:cs="Arial"/>
          <w:sz w:val="26"/>
          <w:szCs w:val="26"/>
          <w:b w:val="1"/>
          <w:bCs w:val="1"/>
        </w:rPr>
        <w:t xml:space="preserve">Ausschiffung: Ushuaia (Argentinien)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val="1"/>
                <w:bCs w:val="1"/>
              </w:rPr>
              <w:t xml:space="preserve">Tag 1 (9. Nov.): Ushuaia, Argentinien</w:t>
            </w:r>
          </w:p>
          <w:p>
            <w:pPr/>
            <w:r>
              <w:rPr/>
              <w:t xml:space="preserve">	 Willkommen in Ushuaia, der südlichsten Stadt der Welt und Ausgangspunkt unserer Antarktisexpedition! Nach Ihrer Ankunft am Flughafen werden Sie von unseren Mitarbeitern begrüßt und in ein hochwertiges Hotel gebracht, das von uns gebucht wurde und im Reisepreis enthalten ist. Der Rest des Tages steht Ihnen zur freien Verfügung, um Ushuaia zu erkunden. Im Hafen von Ushuaia werden Sie wahrscheinlich schon den ersten Blick auf unser Expeditions-Kreuzfahrtschiff werfen können, mit dem Sie Richtung Antarktis starten. </w:t>
            </w:r>
          </w:p>
          <w:p>
            <w:pPr/>
            <w:r>
              <w:rPr/>
              <w:t xml:space="preserve">	 Für eine Einführung in die lokale Geschichte und Tierwelt lohnt sich ein Besuch des interessanten Museo del Fin del Mundo. Wenn Sie etwas mehr Zeit haben, können Sie eine Vielzahl von Aktivitäten in der Natur unternehmen, z.B. Wandern im nahe gelegenen Feuerland-Nationalpark oder Tierbeobachtung im Beagle-Kanal. Zum Abendessen gibt es in Ushuaia eine große Auswahl an Restaurants, die patagonisches Lamm und köstliche Meeresfrüchte anbieten.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2 (10. Nov.): Einschiffung in Ushuaia</w:t>
            </w:r>
          </w:p>
          <w:p>
            <w:pPr/>
            <w:r>
              <w:rPr/>
              <w:t xml:space="preserve">	 Nach dem Frühstück in Ihrem Hotel steht Ihnen der Vormittag zur Verfügung, um Ushuaia zu erkunden. Erkunden Sie die reizvolle Uferpromenade und genießen Sie den Blick auf die schneebedeckte Martial Range, die südlichsten Gipfel der Anden. Nutzen Sie die Gelegenheit zum Einkaufen von Souvenirs oder von Dingen, die Sie in letzter Minute noch brauchen, z. B. Kleidung für kaltes Wetter. Denken Sie nur daran, dass Sie bald Ihren eigenen Parka erhalten, den Sie behalten können, und wasserdichte Stiefel, die Sie sich an Bord des Schiffes ausleihen können. Zum Mittagessen können Sie in den zahlreichen Cafés, Parrillas und Eisdielen auf der Avenida San Martín zu Mittag essen.</w:t>
            </w:r>
          </w:p>
          <w:p>
            <w:pPr/>
            <w:r>
              <w:rPr/>
              <w:t xml:space="preserve">	 Am Nachmittag werden Sie zur Anlegestelle gebracht, wo wir Sie an Bord des Expeditionsschiffs M/V Sea Spirit herzlich willkommen heißen. Richten Sie sich in Ihrer geräumigen Suite ein und erkunden Sie das Schiff, das während des bevorstehenden außergewöhnlichen Abenteuers Ihr komfortables Zuhause sein wird. Nachdem Sie an Bord gegangen sind, beginnt ein volles Programm mit informativen Briefings und Einführungen durch Ihr Expeditionsteam. Nach dem Abendessen gehen Sie gern an Deck, um die Landschaft und das herrliche Abendlicht zu bewundern, während wir den Beagle-Kanal durchfahren.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3 (11. Nov.): Auf See</w:t>
            </w:r>
          </w:p>
          <w:p>
            <w:pPr/>
            <w:r>
              <w:rPr/>
              <w:t xml:space="preserve">	 Der Beagle-Kanal und die Feuerland-Inseln liegen hinter uns und wir fahren in Richtung Nordosten zu den Falkland-Inseln. Wir halten Ausschau nach Delfinen und Walen und hören uns Vorträge vom Expeditionsteam an, die uns auf unsere Ankunft auf den Falklandinseln vorbereiten.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4-5 (12. bis 13. Nov.): Die Falklandinseln</w:t>
            </w:r>
          </w:p>
          <w:p>
            <w:pPr/>
            <w:r>
              <w:rPr/>
              <w:t xml:space="preserve">	 Die abgelegenen und dünn besiedelten Falklandinseln sind ein Paradies für Ornithologen. Wir werden voraussichtlich zwei Tage auf den abgelegenen äußeren Inseln verbringen, wo große Pinguin- und Albatros-Kolonien gut zu erreichen sind. Die Falklandinseln sind auch ein großartiger Ort, um Meeressäugetiere zu beobachten. In den Gewässern rund um den Archipel leben Wale wie Peale-Delfine und Commerson-Delfine. Unsere genaue Route und die Möglichkeiten zur Erkundung dieser isolierten und windigen Inseln hängen vom Wetter ab.</w:t>
            </w:r>
          </w:p>
          <w:p>
            <w:pPr/>
            <w:r>
              <w:rPr/>
              <w:t xml:space="preserve">	 Wir wollen auch den Hafen von Stanley besuchen, die charmante britische Hauptstadt der Falklandinseln. Zu den Attraktionen, die man zu Fuß entlang der Uferpromenade erreichen kann, gehören das Museum der Falklandinseln, das Haus des Gouverneurs, eine Kathedrale mit dem beeindruckenden Bogen aus Walknochen, ein Kriegsdenkmal, gute Souvenirläden, Pubs und die Aussicht auf Schiffswracks im Hafen.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6-7 (14. bis 15. Nov.): Südpolarmeer</w:t>
            </w:r>
          </w:p>
          <w:p>
            <w:pPr/>
            <w:r>
              <w:rPr/>
              <w:t xml:space="preserve">	 Weiter geht es von den Falklandinseln mit Kurs auf Südgeorgien zu. Sie überqueren die antarktische Konvergenzzone und befinden sich offiziell in den Gewässern der Antarktis. Vorträge, Workshops und praktische Vorbereitungen für die Anlandungen in der Antarktis, wie das Säubern der Kleidung, um keine Pflanzensamen in das sensible Ökosystem einzuführen, bestimmen den Tagesablauf und bereiten Sie optimal auf Südgeorgien vor.</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8-12 (16. bis 20. Nov.): Südgeorgien</w:t>
            </w:r>
          </w:p>
          <w:p>
            <w:pPr/>
          </w:p>
          <w:p>
            <w:pPr/>
            <w:r>
              <w:rPr/>
              <w:t xml:space="preserve">	 Südgeorgien ist eine malerische Wildnis und ein unvergleichliches Paradies für die Beobachtung der subantarktischen Tierwelt. Man sagt, dass die Inseln über 100 Millionen Seevögel beherbergen, darunter zahlreiche Arten von Albatrossen, Pinguinen, Prionen, Sturmvögeln und Seeschwalben. An Stränden wie denen von Salisbury Plain und St. Andrews Bay drängeln sich über 100.000 Seeelefanten und drei Millionen Pelzrobben zwischen unzähligen Pinguinen, darunter stattliche Königspinguine und rüstige Makkaroni-Pinguine, um Platz. Das kürzlich abgeschlossene Programm zur Ausrottung von Ratten wird diese Wildnis noch unberührter und vogelreicher machen.</w:t>
            </w:r>
          </w:p>
          <w:p>
            <w:pPr/>
            <w:r>
              <w:rPr/>
              <w:t xml:space="preserve">	 In den Gewässern um Südgeorgien sind heute auch wieder mehr und mehr Wale heimisch. In der historischen Walfangstation Grytviken ist das Haus des Stationsmanagers in ein exzellentes Museum umgebaut worden, das vom South Georgia Heritage Trust betrieben wird. In Grytviken können Sie auch die die letzte Ruhestätte des legendären Polarforschers Sir Ernest Shackleton besuchen.</w:t>
            </w:r>
          </w:p>
          <w:p>
            <w:pPr/>
            <w:r>
              <w:rPr/>
              <w:t xml:space="preserve">	 Die Tage in Südgeorgien sind prall gefüllt mit Anlandungen und Aktivitäten, Vorträgen und großem Staunen. In Südgeorgien weiß man nie, wo man hinsehen soll, denn überall gibt es etwas zu entdecken. Sie werden nicht nur viele Fotos mit nach Hause nehmen, sondern auch unvergessliche Erinnerungen.</w:t>
            </w:r>
          </w:p>
          <w:p>
            <w:pPr/>
            <w:r>
              <w:rPr/>
              <w:t xml:space="preserve">	 Die Route in Südgeorgien hängt stark vom Wetter und vor allem den Windverhältnissen dieser entlegenen Region ab. Ihr erfahrener Kapitän und der Expeditionsleiter legen vor Ort täglich neu die Route und Anlandungen fest und planen nach den örtlichen Konditionen, um das beste Expeditionserlebnis bieten zu können. Es wird jede Gelegenheit genutzt, Ihnen diese außergewöhnliche Region näher zu bringen!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13-14 (21. bis 22. Nov.): Südpolarmeer</w:t>
            </w:r>
          </w:p>
          <w:p>
            <w:pPr/>
            <w:r>
              <w:rPr/>
              <w:t xml:space="preserve">	 Wir fahren weiter nach Westen in Richtung der Antarktischen Halbinsel. Seevögel, darunter der majestätische Albatros, sind in diesen Gewässern häufig anzutreffen und können von den offenen Panoramadecks oder von den Fenstern und Balkonen der Außenkabinen gut beobachtet werden. Möglicherweise treffen wir auch auf riesige Tafeleisberge, die aus dem Weddellmeer nach Norden treiben.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7" o:title=""/>
                </v:shape>
              </w:pict>
            </w:r>
            <w:r>
              <w:rPr>
                <w:rFonts w:ascii="Arial" w:hAnsi="Arial" w:eastAsia="Arial" w:cs="Arial"/>
                <w:sz w:val="22"/>
                <w:szCs w:val="22"/>
                <w:b w:val="1"/>
                <w:bCs w:val="1"/>
              </w:rPr>
              <w:t xml:space="preserve">Tag 15-18 (23. bis 26. Nov.): Die Südshetlandinseln und die Antarktische Halbinsel</w:t>
            </w:r>
          </w:p>
          <w:p>
            <w:pPr/>
            <w:r>
              <w:rPr/>
              <w:t xml:space="preserve">	 Die Region der Antarktischen Halbinsel bietet einige der beeindruckendsten Landschaften der Welt und einige der besten Möglichkeiten zur Beobachtung der Tierwelt der Antarktis. Geschützte Buchten und schmale Kanäle sind umgeben von hoch aufragenden Berggipfeln, die mit Dauerschnee und riesigen Gletschern bedeckt sind. Eisberge jeder Größe und Beschaffenheit vervollständigen ein Bild von unvergleichlicher Schönheit. Die krillreichen Gewässer beherbergen eine Vielzahl von Wal- und Robbenarten. Das ganze Gebiet ist von Pinguinen bevölkert, die auf dem Meer auf Nahrungssuche sind und an besonderen Orten an Land große Nistkolonien bilden. In diesem Gebiet befinden sich auch antarktische Forschungsstationen verschiedener Nationalitäten.</w:t>
            </w:r>
          </w:p>
          <w:p>
            <w:pPr/>
            <w:r>
              <w:rPr/>
              <w:t xml:space="preserve">	 Mit unserem kleinen und wendigen Expeditions-Kreuzfahrtschiff können wir beeindruckende Regionen erreichen und durch die Zodiacs an Bord, sind wir auf keine Häfen angewiesen.</w:t>
            </w:r>
          </w:p>
          <w:p>
            <w:pPr/>
            <w:r>
              <w:rPr/>
              <w:t xml:space="preserve">	 Die Süd-Shetland-Inseln sind die nördlichsten Inseln der Antarktis und werden wahrscheinlich unsere erste Sichtung von Land sein. Diese wilde und wunderschöne Inselkette beherbergt zahlreiche Landungsplätze mit einer reichen Tierwelt und historischer Bedeutung. Dazu gehört auch Elephant Island, wo die Männer von Shackletons berühmter Endurance-Expedition überwinterten.</w:t>
            </w:r>
          </w:p>
          <w:p>
            <w:pPr/>
            <w:r>
              <w:rPr/>
              <w:t xml:space="preserve">	 Weiter südlich, auf der Antarktischen Halbinsel, gibt es in der wunderschönen Gerlache Strait geschützte Buchten, eine vielfältige Tierwelt und eine atemberaubende Landschaft.</w:t>
            </w:r>
          </w:p>
          <w:p>
            <w:pPr/>
            <w:r>
              <w:rPr/>
              <w:t xml:space="preserve">	 Die Wildnis der Antarktis unterliegt unvorhersehbaren Wetter- und ständig wechselnden Eisbedingungen, die unsere Route und Erkundungsmöglichkeiten bestimmen. Dies ist eine echte Expedition. Wir nutzen jede Gelegenheit, um hervorragende Tierbeobachtungen, atemberaubende Landschaften und Ausflüge mit dem Zodiac zu erleben.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8" o:title=""/>
                </v:shape>
              </w:pict>
            </w:r>
            <w:r>
              <w:rPr>
                <w:rFonts w:ascii="Arial" w:hAnsi="Arial" w:eastAsia="Arial" w:cs="Arial"/>
                <w:sz w:val="22"/>
                <w:szCs w:val="22"/>
                <w:b w:val="1"/>
                <w:bCs w:val="1"/>
              </w:rPr>
              <w:t xml:space="preserve">Tag 19-20 (27. bis 28. Nov.): Drakepassage</w:t>
            </w:r>
          </w:p>
          <w:p>
            <w:pPr/>
            <w:r>
              <w:rPr/>
              <w:t xml:space="preserve">	 Nach einer faszinierenden Zeit in der Antarktis überquert die SEA SPIRIT nun die Drakepassage. Vorträge und Workshops des Expeditionsteams und der gemütliche Aufenthalt an Bord lassen die Tage schnell vergehen. Genießen Sie einen Rückblick auf die Reise mit der Bildershow des Fotografen und freuen Sie sich auf den entspannten Austausch mit den Mitreisenden.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9" o:title=""/>
                </v:shape>
              </w:pict>
            </w:r>
            <w:r>
              <w:rPr>
                <w:rFonts w:ascii="Arial" w:hAnsi="Arial" w:eastAsia="Arial" w:cs="Arial"/>
                <w:sz w:val="22"/>
                <w:szCs w:val="22"/>
                <w:b w:val="1"/>
                <w:bCs w:val="1"/>
              </w:rPr>
              <w:t xml:space="preserve">Tag 21 (29. Nov.): Ausschiffung in Ushuaia, Argentinien</w:t>
            </w:r>
          </w:p>
          <w:p>
            <w:pPr/>
            <w:r>
              <w:rPr/>
              <w:t xml:space="preserve">	 Am Morgen ist Ushuaia wieder erreicht. Ein Gruppentransfer bringt Sie je nach Wunsch zum Flughafen oder zum Stadtzentrum. Wenn Sie auf die Reise zurück blicken, freuen Sie sich vielleicht schon auf Ihr nächstes Abenteuer im Eis!</w:t>
            </w:r>
          </w:p>
          <w:p>
            <w:pPr/>
            <w:r>
              <w:rPr/>
              <w:t xml:space="preserve"> Hinweis für die Buchung Ihres Rückflugs: Ihre Ausschiffung findet in der Regel zwischen 8 - 9 Uhr (nach dem Frühstück) statt. Wir empfehlen, den Rückflug ab Ushuaia frühestens ab 12 Uhr mittags zu buchen.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20"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6"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7"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8"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val="1"/>
                <w:bCs w:val="1"/>
              </w:rPr>
              <w:t xml:space="preserve">Anreisepaket</w:t>
            </w:r>
          </w:p>
          <w:p>
            <w:pPr/>
            <w:r>
              <w:rPr/>
              <w:t xml:space="preserve">	 Wir buchen für Sie passende An-Abreisepakete zur Expeditionsreise ab/bis Deutschland/Österreich/Schweiz.</w:t>
            </w:r>
          </w:p>
          <w:p>
            <w:pPr/>
            <w:r>
              <w:rPr/>
              <w:t xml:space="preserve">	 Reisen Sie bequem an. Wir planen Ihre An-/Abreise und buchen Ihnen passend zum Flug auch Transfers und Hotelübernachtungen. Außerdem können Verlängerungsnächte, City Touren und Business Class zusätzlich gegen einen Aufpreis gebucht werden.</w:t>
            </w:r>
          </w:p>
          <w:p>
            <w:pPr/>
            <w:r>
              <w:rPr/>
              <w:t xml:space="preserve">	 Mehr zu Flügen, Sitzplätzen und Reisegepäck erfahren Sie in unserer Rubrik</w:t>
            </w:r>
            <w:r>
              <w:rPr>
                <w:b w:val="1"/>
                <w:bCs w:val="1"/>
              </w:rPr>
              <w:t xml:space="preserve"> </w:t>
            </w:r>
            <w:r>
              <w:rPr/>
              <w:t xml:space="preserve">An-/Abreise.</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val="1"/>
                <w:bCs w:val="1"/>
              </w:rPr>
              <w:t xml:space="preserve"/>
            </w:r>
          </w:p>
          <w:p>
            <w:pPr/>
            <w:r>
              <w:rPr/>
              <w:t xml:space="preserve">	 Alleinreisen heißt nicht, einsam zu sein</w:t>
            </w:r>
          </w:p>
          <w:p>
            <w:pPr/>
            <w:r>
              <w:rPr/>
              <w:t xml:space="preserve"> </w:t>
            </w:r>
            <w:r>
              <w:rPr>
                <w:b w:val="1"/>
                <w:bCs w:val="1"/>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b w:val="1"/>
                <w:bCs w:val="1"/>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31"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2" o:title=""/>
                </v:shape>
              </w:pict>
            </w:r>
          </w:p>
        </w:tc>
        <w:tc>
          <w:tcPr>
            <w:tcW w:w="6000" w:type="dxa"/>
          </w:tcPr>
          <w:p>
            <w:pPr/>
            <w:r>
              <w:rPr>
                <w:rFonts w:ascii="Arial" w:hAnsi="Arial" w:eastAsia="Arial" w:cs="Arial"/>
                <w:sz w:val="32"/>
                <w:szCs w:val="32"/>
                <w:b w:val="1"/>
                <w:bCs w:val="1"/>
              </w:rPr>
              <w:t xml:space="preserve">Sea Kayak Club</w:t>
            </w:r>
          </w:p>
          <w:p>
            <w:pPr/>
            <w:r>
              <w:rPr>
                <w:b w:val="1"/>
                <w:bCs w:val="1"/>
              </w:rPr>
              <w:t xml:space="preserve">KAYAKING IN DER ANTARKTIS SAISON 2027/28 (OPTIONALE AKTIVITÄT)</w:t>
            </w:r>
          </w:p>
          <w:p>
            <w:pPr/>
            <w:r>
              <w:rPr/>
              <w:t xml:space="preserve"> </w:t>
            </w:r>
          </w:p>
          <w:p>
            <w:pPr/>
            <w:r>
              <w:rPr>
                <w:b w:val="1"/>
                <w:bCs w:val="1"/>
              </w:rPr>
              <w:t xml:space="preserve"> </w:t>
            </w:r>
          </w:p>
          <w:p>
            <w:pPr/>
            <w:r>
              <w:rPr/>
              <w:t xml:space="preserve"> </w:t>
            </w:r>
          </w:p>
          <w:p>
            <w:pPr/>
            <w:r>
              <w:rPr>
                <w:b w:val="1"/>
                <w:bCs w:val="1"/>
              </w:rPr>
              <w:t xml:space="preserve">Antarktische Halbinsel: 1.395 € p. P.</w:t>
            </w:r>
          </w:p>
          <w:p>
            <w:pPr/>
            <w:r>
              <w:rPr/>
              <w:t xml:space="preserve"> </w:t>
            </w:r>
          </w:p>
          <w:p>
            <w:pPr/>
            <w:r>
              <w:rPr>
                <w:b w:val="1"/>
                <w:bCs w:val="1"/>
              </w:rPr>
              <w:t xml:space="preserve"> </w:t>
            </w:r>
          </w:p>
          <w:p>
            <w:pPr/>
            <w:r>
              <w:rPr/>
              <w:t xml:space="preserve"> </w:t>
            </w:r>
          </w:p>
          <w:p>
            <w:pPr/>
            <w:r>
              <w:rPr>
                <w:b w:val="1"/>
                <w:bCs w:val="1"/>
              </w:rPr>
              <w:t xml:space="preserve">Falkland, Südgeorgien, Antarktis: 1.495 € p. P.</w:t>
            </w:r>
          </w:p>
          <w:p>
            <w:pPr/>
            <w:r>
              <w:rPr/>
              <w:t xml:space="preserve"> </w:t>
            </w:r>
          </w:p>
          <w:p>
            <w:pPr/>
            <w:r>
              <w:rPr/>
              <w:t xml:space="preserve">	 Lieben Sie das Abenteuer und suchen Sie nach der Stille und Beschaulichkeit einer Seekajak-Fahrt in den Polarregionen? Dann sind Sie bei uns im Sea Kayak Club genau richtig! Mit Poseidon Expeditions, einem der Weltmarktführer in Expeditionskreuzfahrten, haben Sie an Bord der elegant-komfortablen MS Sea Spirit mit dieser Abenteuer-Option die die Möglichkeit die außerordentlich-spektakulären Paddel-Destinationen der Antarktis und der Arktis selbst zu erobern. 	 Eine Seekajak-Fahrt ist eine einmalige Gelegenheit die beeindruckenden Landschaften und Naturwelten der Polarregionen selbst hautnah zu erleben: die imposanten Eisberge, gewaltige Gletscher, knisterndes Packeis und sowie die faszinierende Tierwelt in ihrem natürlichen Lebensraum. Die Mitgliedschaft im Sea Kayak Club ermöglicht es Ihnen, die Polarregionen auf eine ganz andere Art und Weise zu entdecken — sicher und komfortabel — im Rahmen einer professionell geführten Kajak-Tour. Erleben Sie das Abenteuer Ihres Lebens und paddeln Sie mit uns in unseren Kleingruppen an einige der atemberaubendsten Wildnis-Schauplätze der Welt. Begleiten Sie uns auf unseren Expeditionsfahrten und entdecken Sie Ihr eigenes polares Paradies!</w:t>
            </w:r>
          </w:p>
        </w:tc>
      </w:tr>
    </w:tbl>
    <w:p>
      <w:r>
        <w:br w:type="page"/>
      </w:r>
    </w:p>
    <w:p>
      <w:pPr/>
      <w:r>
        <w:rPr>
          <w:rFonts w:ascii="Arial" w:hAnsi="Arial" w:eastAsia="Arial" w:cs="Arial"/>
          <w:sz w:val="32"/>
          <w:szCs w:val="32"/>
          <w:b w:val="1"/>
          <w:bCs w:val="1"/>
        </w:rPr>
        <w:t xml:space="preserve">Preise</w:t>
      </w:r>
    </w:p>
    <w:tbl>
      <w:tblGrid>
        <w:gridCol w:w="1500" w:type="dxa"/>
        <w:gridCol w:w="1500" w:type="dxa"/>
        <w:gridCol w:w="1500" w:type="dxa"/>
        <w:gridCol w:w="1500" w:type="dxa"/>
        <w:gridCol w:w="1500" w:type="dxa"/>
        <w:gridCol w:w="1500" w:type="dxa"/>
        <w:gridCol w:w="1500" w:type="dxa"/>
        <w:gridCol w:w="1500" w:type="dxa"/>
      </w:tblGrid>
      <w:tblPr>
        <w:tblStyle w:val="Rates Table"/>
      </w:tblPr>
      <w:tr>
        <w:trPr/>
        <w:tc>
          <w:tcPr>
            <w:tcW w:w="1500" w:type="dxa"/>
          </w:tcPr>
          <w:p>
            <w:pPr/>
            <w:r>
              <w:rPr>
                <w:b w:val="1"/>
                <w:bCs w:val="1"/>
              </w:rPr>
              <w:t xml:space="preserve">Classic Dreibett Suite</w:t>
            </w:r>
          </w:p>
        </w:tc>
        <w:tc>
          <w:tcPr>
            <w:tcW w:w="1500" w:type="dxa"/>
          </w:tcPr>
          <w:p>
            <w:pPr/>
            <w:r>
              <w:rPr>
                <w:b w:val="1"/>
                <w:bCs w:val="1"/>
              </w:rPr>
              <w:t xml:space="preserve">Maindeck Suite</w:t>
            </w:r>
          </w:p>
        </w:tc>
        <w:tc>
          <w:tcPr>
            <w:tcW w:w="1500" w:type="dxa"/>
          </w:tcPr>
          <w:p>
            <w:pPr/>
            <w:r>
              <w:rPr>
                <w:b w:val="1"/>
                <w:bCs w:val="1"/>
              </w:rPr>
              <w:t xml:space="preserve">Single Suite</w:t>
            </w:r>
          </w:p>
        </w:tc>
        <w:tc>
          <w:tcPr>
            <w:tcW w:w="1500" w:type="dxa"/>
          </w:tcPr>
          <w:p>
            <w:pPr/>
            <w:r>
              <w:rPr>
                <w:b w:val="1"/>
                <w:bCs w:val="1"/>
              </w:rPr>
              <w:t xml:space="preserve">Classic Suite</w:t>
            </w:r>
          </w:p>
        </w:tc>
        <w:tc>
          <w:tcPr>
            <w:tcW w:w="1500" w:type="dxa"/>
          </w:tcPr>
          <w:p>
            <w:pPr/>
            <w:r>
              <w:rPr>
                <w:b w:val="1"/>
                <w:bCs w:val="1"/>
              </w:rPr>
              <w:t xml:space="preserve">Superior Suite</w:t>
            </w:r>
          </w:p>
        </w:tc>
        <w:tc>
          <w:tcPr>
            <w:tcW w:w="1500" w:type="dxa"/>
          </w:tcPr>
          <w:p>
            <w:pPr/>
            <w:r>
              <w:rPr>
                <w:b w:val="1"/>
                <w:bCs w:val="1"/>
              </w:rPr>
              <w:t xml:space="preserve">Deluxe Suite</w:t>
            </w:r>
          </w:p>
        </w:tc>
        <w:tc>
          <w:tcPr>
            <w:tcW w:w="1500" w:type="dxa"/>
          </w:tcPr>
          <w:p>
            <w:pPr/>
            <w:r>
              <w:rPr>
                <w:b w:val="1"/>
                <w:bCs w:val="1"/>
              </w:rPr>
              <w:t xml:space="preserve">Premium Suite</w:t>
            </w:r>
          </w:p>
        </w:tc>
        <w:tc>
          <w:tcPr>
            <w:tcW w:w="1500" w:type="dxa"/>
          </w:tcPr>
          <w:p>
            <w:pPr/>
            <w:r>
              <w:rPr>
                <w:b w:val="1"/>
                <w:bCs w:val="1"/>
              </w:rPr>
              <w:t xml:space="preserve">Eigner Suite</w:t>
            </w:r>
          </w:p>
        </w:tc>
      </w:tr>
      <w:tr>
        <w:trPr/>
        <w:tc>
          <w:tcPr>
            <w:tcW w:w="1500" w:type="dxa"/>
          </w:tcPr>
          <w:p>
            <w:pPr>
              <w:spacing w:before="50" w:after="50"/>
            </w:pPr>
            <w:r>
              <w:rPr/>
              <w:t xml:space="preserve">€ 21.595</w:t>
            </w:r>
          </w:p>
        </w:tc>
        <w:tc>
          <w:tcPr>
            <w:tcW w:w="1500" w:type="dxa"/>
          </w:tcPr>
          <w:p>
            <w:pPr>
              <w:spacing w:before="50" w:after="50"/>
            </w:pPr>
            <w:r>
              <w:rPr/>
              <w:t xml:space="preserve">€ 25.295</w:t>
            </w:r>
          </w:p>
        </w:tc>
        <w:tc>
          <w:tcPr>
            <w:tcW w:w="1500" w:type="dxa"/>
          </w:tcPr>
          <w:p>
            <w:pPr>
              <w:spacing w:before="50" w:after="50"/>
            </w:pPr>
            <w:r>
              <w:rPr/>
              <w:t xml:space="preserve">€ 37.595</w:t>
            </w:r>
          </w:p>
        </w:tc>
        <w:tc>
          <w:tcPr>
            <w:tcW w:w="1500" w:type="dxa"/>
          </w:tcPr>
          <w:p>
            <w:pPr>
              <w:spacing w:before="50" w:after="50"/>
            </w:pPr>
            <w:r>
              <w:rPr/>
              <w:t xml:space="preserve">€ 26.695</w:t>
            </w:r>
          </w:p>
        </w:tc>
        <w:tc>
          <w:tcPr>
            <w:tcW w:w="1500" w:type="dxa"/>
          </w:tcPr>
          <w:p>
            <w:pPr>
              <w:spacing w:before="50" w:after="50"/>
            </w:pPr>
            <w:r>
              <w:rPr/>
              <w:t xml:space="preserve">€ 27.095</w:t>
            </w:r>
          </w:p>
        </w:tc>
        <w:tc>
          <w:tcPr>
            <w:tcW w:w="1500" w:type="dxa"/>
          </w:tcPr>
          <w:p>
            <w:pPr>
              <w:spacing w:before="50" w:after="50"/>
            </w:pPr>
            <w:r>
              <w:rPr/>
              <w:t xml:space="preserve">€ 30.395</w:t>
            </w:r>
          </w:p>
        </w:tc>
        <w:tc>
          <w:tcPr>
            <w:tcW w:w="1500" w:type="dxa"/>
          </w:tcPr>
          <w:p>
            <w:pPr>
              <w:spacing w:before="50" w:after="50"/>
            </w:pPr>
            <w:r>
              <w:rPr/>
              <w:t xml:space="preserve">€ 32.495</w:t>
            </w:r>
          </w:p>
        </w:tc>
        <w:tc>
          <w:tcPr>
            <w:tcW w:w="1500" w:type="dxa"/>
          </w:tcPr>
          <w:p>
            <w:pPr>
              <w:spacing w:before="50" w:after="50"/>
            </w:pPr>
            <w:r>
              <w:rPr/>
              <w:t xml:space="preserve">€ 40.395</w:t>
            </w:r>
          </w:p>
        </w:tc>
      </w:tr>
    </w:tbl>
    <w:p>
      <w:pPr>
        <w:jc w:val="left"/>
      </w:pPr>
      <w:r>
        <w:rPr>
          <w:rFonts w:ascii="Arial" w:hAnsi="Arial" w:eastAsia="Arial" w:cs="Arial"/>
          <w:sz w:val="24"/>
          <w:szCs w:val="24"/>
          <w:b w:val="0"/>
          <w:bCs w:val="0"/>
        </w:rPr>
        <w:t xml:space="preserve"/>
      </w:r>
    </w:p>
    <w:p>
      <w:pPr>
        <w:jc w:val="left"/>
      </w:pPr>
      <w:r>
        <w:rPr>
          <w:rFonts w:ascii="Arial" w:hAnsi="Arial" w:eastAsia="Arial" w:cs="Arial"/>
          <w:sz w:val="24"/>
          <w:szCs w:val="24"/>
          <w:b w:val="0"/>
          <w:bCs w:val="0"/>
        </w:rPr>
        <w:t xml:space="preserve">
	 Preise pro Person bei Doppelbelegung der Kabine, bzw. Drei-Personen Belegung bei Classic Dreibett Suite (Triple-Kategorie). Einzelkabinenzuschlag: x1,7 auf den aktuellen Preis der Website in Main Deck-, Classic-, und Superior-Suite, x2 in Deluxe-, Premium-, und Eigner-Suite.
 Hinweis Classic Dreibett Suite: Eine gemischtgeschlechtliche Belegung dieser Kabine ist nur bei Buchung von drei Betten möglich (Drei-Personen Belegung). Bei Buchung von weniger als drei Personen werden Reisende nach Geschlecht getrennt mit anderen Herren oder Damen untergebracht.
 Hinweis Main Deck Suite: Es besteht die Möglichkeit, dass der Kapitän bei hohem Seegang oder Meeresstraßen aus Sicherheitsgründen die Schließung der Bullaugen anordnet.
 Hinweis Single Suite: Es besteht die Möglichkeit, dass der Kapitän bei hohem Seegang oder Meeresstraßen aus Sicherheitsgründen die Schließung der Panorama-Fenster anordnet. (Preisvorteil: Durch die kurzzeitige Geräuschentwicklung des Ankers beim an- und ablegen beträgt der Einzelkabinenaufschlag bei der Single Suite nur circa 1,4 gegenüber dem Standard-Einzelkabinenaufschlag von 1,7 bzw. 2).
</w:t>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Gruppentransfer vom Flughafen zum Hotel in Ushuaia am Vortag der Einschiffung (Tag 1)</w:t>
            </w:r>
          </w:p>
          <w:p>
            <w:pPr/>
            <w:r>
              <w:rPr/>
              <w:t xml:space="preserve">Eine Übernachtung inkl. Frühstück vor der Einschiffung (Tag 1) im Hotel Arakur Ushuaia Resort and Spa (Änderungen vorbehalten)</w:t>
            </w:r>
          </w:p>
          <w:p>
            <w:pPr/>
            <w:r>
              <w:rPr/>
              <w:t xml:space="preserve">Gruppentransfer vom Hotel zum Schiff für die Einschiffung an Tag 2</w:t>
            </w:r>
          </w:p>
          <w:p>
            <w:pPr/>
            <w:r>
              <w:rPr/>
              <w:t xml:space="preserve">Gruppentransfer zum Flughafen oder das Stadtzentrum nach der Ausschiffung in Ushuaia</w:t>
            </w:r>
          </w:p>
          <w:p>
            <w:pPr/>
            <w:r>
              <w:rPr/>
              <w:t xml:space="preserve">Unterbringung in der gebuchten Kabinenkategorie</w:t>
            </w:r>
          </w:p>
          <w:p>
            <w:pPr/>
            <w:r>
              <w:rPr/>
              <w:t xml:space="preserve">All-Inclusive-Getränkepaket mit alkoholfreien Getränken, Hauswein und -bier sowie Hausspirituosen im Bordrestaurant und an der Bar</w:t>
            </w:r>
          </w:p>
          <w:p>
            <w:pPr/>
            <w:r>
              <w:rPr/>
              <w:t xml:space="preserve">Alle Mahlzeiten an Bord während der Reise (FR/M/A)</w:t>
            </w:r>
          </w:p>
          <w:p>
            <w:pPr/>
            <w:r>
              <w:rPr/>
              <w:t xml:space="preserve">24-Stunden Wasser-,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p>
            <w:pPr/>
            <w:r>
              <w:rPr/>
              <w:t xml:space="preserve">IAATO-Gebühren und staatliche Steuern</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für Wäscherei, Kommunikationskosten (Satelliten-Telefon) oder Einkäufe im Bord-Shop</w:t>
            </w:r>
          </w:p>
          <w:p>
            <w:pPr/>
            <w:r>
              <w:rPr/>
              <w:t xml:space="preserve">Visum- oder Passgebühren (falls erforderlich)</w:t>
            </w:r>
          </w:p>
          <w:p>
            <w:pPr/>
            <w:r>
              <w:rPr/>
              <w:t xml:space="preserve">Trinkgelder (freiwillig)</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33"/>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D3F59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pn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png"/><Relationship Id="rId32" Type="http://schemas.openxmlformats.org/officeDocument/2006/relationships/image" Target="media/section_image26.jpg"/><Relationship Id="rId3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2026-10-12T15:36:04+00:00</dcterms:created>
  <dcterms:modified xsi:type="dcterms:W3CDTF">2026-10-12T15:36:04+00:00</dcterms:modified>
</cp:coreProperties>
</file>

<file path=docProps/custom.xml><?xml version="1.0" encoding="utf-8"?>
<Properties xmlns="http://schemas.openxmlformats.org/officeDocument/2006/custom-properties" xmlns:vt="http://schemas.openxmlformats.org/officeDocument/2006/docPropsVTypes"/>
</file>