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29 Jun - 08 Jul 2027</w:t>
      </w:r>
    </w:p>
    <w:p>
      <w:pPr>
        <w:jc w:val="center"/>
      </w:pPr>
      <w:r>
        <w:rPr>
          <w:rFonts w:ascii="Arial" w:hAnsi="Arial" w:eastAsia="Arial" w:cs="Arial"/>
          <w:sz w:val="26"/>
          <w:szCs w:val="26"/>
          <w:b/>
        </w:rPr>
        <w:t xml:space="preserve">10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(29. Juni):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(30. Juni):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3-9 (01. - 07. Juli): Westspitzbergen bis zur Eisgrenze</w:t>
            </w:r>
          </w:p>
          <w:p>
            <w:pPr/>
            <w:r>
              <w:rPr/>
              <w:t xml:space="preserve">	 Die Route dieser Reise konzentriert sich auf die spektakulären Fjorde, Küsten und Inseln des westlichen Spitzbergens, der Hauptinsel des Spitzbergen-Archipels. In diesem Gebiet befinden sich die schönsten Landschaften Spitzbergens und einige der besten Tierbeobachtungsmöglichkeiten in der Arktis. Der genaue Zeitplan und die Route hängen vom Wetter und den Eisverhältnissen ab. Eisbären und andere ikonische arktische Tiere können jederzeit und überall in unserem Erkundungsgebiet gesichtet werden.</w:t>
            </w:r>
          </w:p>
          <w:p>
            <w:pPr/>
            <w:r>
              <w:rPr/>
              <w:t xml:space="preserve">	 Eins der ursprünglichsten Naturgebiete auf dieser Reise ist der Nationalpark Südspitzbergen, eine riesige Region mit vielfältigen Landschaften, darunter polare Wüsten und unzugängliche Gebirgszüge. Das Herzstück dieses Parks ist der Hornsund, ein malerischer Fjord, in dem zahllose mächtige Gletscher von hoch aufragenden Berggipfeln in eisige Buchten stürzen. Zu dieser Jahreszeit werden wir mit großer Wahrscheinlichkeit auf Festeis treffen, das ist Meereseis, das fest mit dem Ufer verbunden ist. Dies bietet eine hervorragende Chance, Eisbären auf der Jagd nach Ringelrobben zu beobachten. Zum Park gehört auch das Südufer des Bellsund, eine pittoreske Bucht, in der wir die Überreste historischer Walfangaktivitäten finden, darunter Holzboote, Hütten und Tausende von Walknochen - eine Szene aus der fernen Vergangenheit, buchstäblich eingefroren in der Zeit. Dieses Gebiet bietet auch großartige Wandermöglichkeiten durch Landschaften, die reich an arktischer Flora und Vogelwelt sind, sowie einer faszinierenden Geologie.</w:t>
            </w:r>
          </w:p>
          <w:p>
            <w:pPr/>
            <w:r>
              <w:rPr/>
              <w:t xml:space="preserve">	 Auf unserer Route liegt auch der Nordwest-Spitzbergen-Nationalpark, das Kronjuwel unter den Landschaftswundern Spitzbergens. Hier finden wir tiefe Fjorde, die von zerklüfteten Berggipfeln flankiert werden, und riesige Gezeitengletscher,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 </w:t>
            </w:r>
          </w:p>
          <w:p>
            <w:pPr/>
            <w:r>
              <w:rPr/>
              <w:t xml:space="preserve">	 Zu unserem Erkundungsgebiet gehört auch der herrliche Forlandet-Nationalpark. Hier finden wir Prins Karls Forland, einen der besten Orte in Spitzbergen, um Walross-Herden zu beobachten, die sich an Land aufhalten. Ebenfalls auf unserer Route liegt der Nationalpark Nord-Isforden, wo wir die Möglichkeit haben, die endemischen Spitzbergen-Rentiere beim Grasen und Polarfüchse beim Herumtollen auf den üppigen Tundra-Wiesen zu beobachten.</w:t>
            </w: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 Museum, einen Souvenirladen und ein kleines Postamt finden.</w:t>
            </w:r>
          </w:p>
          <w:p>
            <w:pPr/>
            <w:r>
              <w:rPr/>
              <w:t xml:space="preserve">	 Neben der Erkundung der irdischen Umgebung und der Küstengewässer im Westen Spitzbergens konzentrieren wir uns besonders darauf, den Rand des Packeises zu erreichen. An dieser dynamischen Grenze zwischen festem Meereis und offenem Ozean haben wir die einmalige Gelegenheit, das dramatische Zusammentreffen von Eisbären und Robben zu beobachten. Wir werden mit dem Schiff so nah wie möglich an die sich ständig verschiebenden Eisschollen heranfahren, in der Hoffnung, Eisbären bei der Jagd in ihrem bevorzugten Lebensraum beobachten zu können. Zu dieser Jahreszeit ist die Eiskante nicht weit vom Festland Spitzbergens entfernt, und unsere Fahrtzeit auf offener See wird verhältnismäßig kurz sein.</w:t>
            </w:r>
          </w:p>
          <w:p>
            <w:pPr/>
            <w:r>
              <w:rPr/>
              <w:t xml:space="preserve">	 Die Route Westspitzbergen bis zur Eisgrenze bietet eine atemberaubende Vielfalt an arktischen Landschaften und Tieren bei minimaler Fahrzeit zwischen den Anladungen. Jeder Tag bietet etwas Neues und Aufregendes. Wir werden keine Gelegenheit auslassen, um die erstaunliche arktische Tierwelt zu beobachten, unglaubliche Polarlandschaften zu sehen und in die Fußstapfen historischer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10 (08. Juli): Ausschiffung in Longyearbyen, Spitzbergen</w:t>
            </w:r>
          </w:p>
          <w:p>
            <w:pPr/>
            <w:r>
              <w:rPr/>
              <w:t xml:space="preserve">	 Nachdem Sie sich an einem letzten Frühstück an Bord gestärkt haben, verabschieden wir uns von Ihnen in Longyearbyen. </w:t>
            </w:r>
          </w:p>
          <w:p>
            <w:pPr/>
            <w:r>
              <w:rPr/>
              <w:t xml:space="preserve">	 Wir bieten Transfers zum Flughafen oder ins Stadtzentrum an, falls Sie länger in Spitzbergen bleiben möchten.</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w:t>
            </w:r>
            <w:r>
              <w:rPr/>
              <w:t xml:space="preserve"> </w:t>
            </w:r>
            <w:r>
              <w:rPr/>
              <w:t xml:space="preserve">1.810,- EUR pro Person bei Einzelbelegung</w:t>
            </w:r>
            <w:r>
              <w:rPr/>
              <w:t xml:space="preserve"> </w:t>
            </w:r>
            <w:r>
              <w:rPr/>
              <w:t xml:space="preserve">1.645,- EUR pro Person bei Doppelbelegung </w:t>
            </w:r>
            <w:r>
              <w:rPr/>
              <w:t xml:space="preserve">Im Anreisepaket enthalten: Flug ab und bis D/ CH/ AT mit SAS oder ähnlich. 2x Hotelübernachtung mit Frühstück am Flughafen in Oslo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€ 9 395</w:t>
            </w:r>
          </w:p>
        </w:tc>
        <w:tc>
          <w:tcPr>
            <w:tcW w:w="1500" w:type="dxa"/>
          </w:tcPr>
          <w:p>
            <w:pPr>
              <w:spacing w:before="50" w:after="50"/>
            </w:pPr>
            <w:r>
              <w:rPr>
                <w:strike/>
              </w:rPr>
              <w:t xml:space="preserve">€ 10 995</w:t>
            </w:r>
          </w:p>
        </w:tc>
        <w:tc>
          <w:tcPr>
            <w:tcW w:w="1500" w:type="dxa"/>
          </w:tcPr>
          <w:p>
            <w:pPr>
              <w:spacing w:before="50" w:after="50"/>
            </w:pPr>
            <w:r>
              <w:rPr>
                <w:strike/>
              </w:rPr>
              <w:t xml:space="preserve">€ 16 395</w:t>
            </w:r>
          </w:p>
        </w:tc>
        <w:tc>
          <w:tcPr>
            <w:tcW w:w="1500" w:type="dxa"/>
          </w:tcPr>
          <w:p>
            <w:pPr>
              <w:spacing w:before="50" w:after="50"/>
            </w:pPr>
            <w:r>
              <w:rPr>
                <w:strike/>
              </w:rPr>
              <w:t xml:space="preserve">€ 11 695</w:t>
            </w:r>
          </w:p>
        </w:tc>
        <w:tc>
          <w:tcPr>
            <w:tcW w:w="1500" w:type="dxa"/>
          </w:tcPr>
          <w:p>
            <w:pPr>
              <w:spacing w:before="50" w:after="50"/>
            </w:pPr>
            <w:r>
              <w:rPr>
                <w:strike/>
              </w:rPr>
              <w:t xml:space="preserve">€ 11 795</w:t>
            </w:r>
          </w:p>
        </w:tc>
        <w:tc>
          <w:tcPr>
            <w:tcW w:w="1500" w:type="dxa"/>
          </w:tcPr>
          <w:p>
            <w:pPr>
              <w:spacing w:before="50" w:after="50"/>
            </w:pPr>
            <w:r>
              <w:rPr>
                <w:strike/>
              </w:rPr>
              <w:t xml:space="preserve">€ 13 195</w:t>
            </w:r>
          </w:p>
        </w:tc>
        <w:tc>
          <w:tcPr>
            <w:tcW w:w="1500" w:type="dxa"/>
          </w:tcPr>
          <w:p>
            <w:pPr>
              <w:spacing w:before="50" w:after="50"/>
            </w:pPr>
            <w:r>
              <w:rPr>
                <w:strike/>
              </w:rPr>
              <w:t xml:space="preserve">€ 14 195</w:t>
            </w:r>
          </w:p>
        </w:tc>
        <w:tc>
          <w:tcPr>
            <w:tcW w:w="1500" w:type="dxa"/>
          </w:tcPr>
          <w:p>
            <w:pPr>
              <w:spacing w:before="50" w:after="50"/>
            </w:pPr>
            <w:r>
              <w:rPr>
                <w:strike/>
              </w:rPr>
              <w:t xml:space="preserve">€ 17 595</w:t>
            </w:r>
          </w:p>
        </w:tc>
      </w:tr>
      <w:tr>
        <w:trPr/>
        <w:tc>
          <w:tcPr>
            <w:tcW w:w="1500" w:type="dxa"/>
          </w:tcPr>
          <w:p>
            <w:pPr>
              <w:spacing w:before="50" w:after="50"/>
            </w:pPr>
            <w:r>
              <w:rPr/>
              <w:t xml:space="preserve">€ 7 986</w:t>
            </w:r>
          </w:p>
        </w:tc>
        <w:tc>
          <w:tcPr>
            <w:tcW w:w="1500" w:type="dxa"/>
          </w:tcPr>
          <w:p>
            <w:pPr>
              <w:spacing w:before="50" w:after="50"/>
            </w:pPr>
            <w:r>
              <w:rPr/>
              <w:t xml:space="preserve">€ 8 246</w:t>
            </w:r>
          </w:p>
        </w:tc>
        <w:tc>
          <w:tcPr>
            <w:tcW w:w="1500" w:type="dxa"/>
          </w:tcPr>
          <w:p>
            <w:pPr>
              <w:spacing w:before="50" w:after="50"/>
            </w:pPr>
            <w:r>
              <w:rPr/>
              <w:t xml:space="preserve">€ 12 296</w:t>
            </w:r>
          </w:p>
        </w:tc>
        <w:tc>
          <w:tcPr>
            <w:tcW w:w="1500" w:type="dxa"/>
          </w:tcPr>
          <w:p>
            <w:pPr>
              <w:spacing w:before="50" w:after="50"/>
            </w:pPr>
            <w:r>
              <w:rPr/>
              <w:t xml:space="preserve">€ 8 771</w:t>
            </w:r>
          </w:p>
        </w:tc>
        <w:tc>
          <w:tcPr>
            <w:tcW w:w="1500" w:type="dxa"/>
          </w:tcPr>
          <w:p>
            <w:pPr>
              <w:spacing w:before="50" w:after="50"/>
            </w:pPr>
            <w:r>
              <w:rPr/>
              <w:t xml:space="preserve">€ 8 846</w:t>
            </w:r>
          </w:p>
        </w:tc>
        <w:tc>
          <w:tcPr>
            <w:tcW w:w="1500" w:type="dxa"/>
          </w:tcPr>
          <w:p>
            <w:pPr>
              <w:spacing w:before="50" w:after="50"/>
            </w:pPr>
            <w:r>
              <w:rPr/>
              <w:t xml:space="preserve">€ 9 896</w:t>
            </w:r>
          </w:p>
        </w:tc>
        <w:tc>
          <w:tcPr>
            <w:tcW w:w="1500" w:type="dxa"/>
          </w:tcPr>
          <w:p>
            <w:pPr>
              <w:spacing w:before="50" w:after="50"/>
            </w:pPr>
            <w:r>
              <w:rPr/>
              <w:t xml:space="preserve">€ 10 646</w:t>
            </w:r>
          </w:p>
        </w:tc>
        <w:tc>
          <w:tcPr>
            <w:tcW w:w="1500" w:type="dxa"/>
          </w:tcPr>
          <w:p>
            <w:pPr>
              <w:spacing w:before="50" w:after="50"/>
            </w:pPr>
            <w:r>
              <w:rPr/>
              <w:t xml:space="preserve">€ 13 196</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zum Schiff am Tag der Einschiffung (Tag 2)</w:t>
            </w:r>
          </w:p>
          <w:p>
            <w:pPr/>
            <w:r>
              <w:rPr/>
              <w:t xml:space="preserve">Gruppentransfer zum Flughafen oder Stadtzentrum nach der Ausschiffung</w:t>
            </w:r>
          </w:p>
          <w:p>
            <w:pPr/>
            <w:r>
              <w:rPr/>
              <w:t xml:space="preserve">All-Inclusive-Getränkepaket mit alkoholfreien Getränken, Hauswein und -bier sowie Hausspirituosen im Bordrestaurant und an der Bar</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DDB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2026-09-12T13:07:06+00:00</dcterms:created>
  <dcterms:modified xsi:type="dcterms:W3CDTF">2026-09-12T13:07:06+00:00</dcterms:modified>
</cp:coreProperties>
</file>

<file path=docProps/custom.xml><?xml version="1.0" encoding="utf-8"?>
<Properties xmlns="http://schemas.openxmlformats.org/officeDocument/2006/custom-properties" xmlns:vt="http://schemas.openxmlformats.org/officeDocument/2006/docPropsVTypes"/>
</file>