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Weihnachten in der Antarktis</w:t>
      </w:r>
    </w:p>
    <w:p>
      <w:pPr>
        <w:jc w:val="center"/>
      </w:pPr>
      <w:r>
        <w:rPr>
          <w:rFonts w:ascii="Arial" w:hAnsi="Arial" w:eastAsia="Arial" w:cs="Arial"/>
          <w:sz w:val="26"/>
          <w:szCs w:val="26"/>
          <w:b w:val="1"/>
          <w:bCs w:val="1"/>
        </w:rPr>
        <w:t xml:space="preserve">18 Dez - 29 Dez 2026</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(18.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(19.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(20. bis 21. Dez.)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für später an Land. Erste Vorträge der erfahrenen Lektoren stimmen Sie auf die Ankunft in der Antarktis ein!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(22. bis 26. Dez.): Südshetlandinseln und die Antarktische Halbinsel</w:t>
            </w:r>
          </w:p>
          <w:p>
            <w:pPr/>
            <w:r>
              <w:rPr/>
              <w:t xml:space="preserve">	 In den nächsten Tagen erkunden wir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 Mit unserem wendigen Expeditions-Kreuzfahrtschiff können wir beeindruckende Regionen erreichen und durch die Schlauchboote an Bord, sind wir auf keine Häfen angewiesen.</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r>
              <w:rPr/>
              <w:t xml:space="preserve">	 In dieser zerklüfteten, aber dennoch zugänglichen Umgebung lassen sich hervorragende Tierbeobachtungen am besten durch aktive Abenteuer ergänzen.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p>
            <w:pPr/>
            <w:r>
              <w:rPr/>
              <w:t xml:space="preserve">	 Unser Abenteuer in der Antarktis wird noch unvergesslicher, denn der Weihnachtstag fällt in unsere Erkundungstage! Wir werden diesen Tag mit besonderen Mahlzeiten und Festlichkeiten feiern, die die verschiedenen Traditionen unserer multinationalen Passagiere aufnehmen. Der Weihnachtsmann wird erscheinen und Sie haben die Möglichkeit, ein Foto mit ihm im Schnee zu machen. Wir empfehlen Ihnen, sich für den Abend mit Weihnachtsmusik, Gesang und Tanz festlich zu kleiden. Das wird ein Weihnachten in der Antarktis, das Sie nie vergessen werden!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(27. bis 28.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Festivitäten wie den Abschiedscocktail des Kapitäns und die Diashow zum Ende der Reise. Als wir schließlich in den ruhigen Beagle-Kanal einfahren, genießen wir eine ruhige Nacht in Richtung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(29.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3.415,-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3.835,-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450 €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€ 11.295</w:t>
            </w:r>
          </w:p>
        </w:tc>
        <w:tc>
          <w:tcPr>
            <w:tcW w:w="1500" w:type="dxa"/>
          </w:tcPr>
          <w:p>
            <w:pPr>
              <w:spacing w:before="50" w:after="50"/>
            </w:pPr>
            <w:r>
              <w:rPr>
                <w:strike w:val="1"/>
                <w:dstrike w:val="0"/>
              </w:rPr>
              <w:t xml:space="preserve">€ 14.995</w:t>
            </w:r>
          </w:p>
        </w:tc>
        <w:tc>
          <w:tcPr>
            <w:tcW w:w="1500" w:type="dxa"/>
          </w:tcPr>
          <w:p>
            <w:pPr>
              <w:spacing w:before="50" w:after="50"/>
            </w:pPr>
            <w:r>
              <w:rPr>
                <w:strike w:val="1"/>
                <w:dstrike w:val="0"/>
              </w:rPr>
              <w:t xml:space="preserve">€ 22.495</w:t>
            </w:r>
          </w:p>
        </w:tc>
        <w:tc>
          <w:tcPr>
            <w:tcW w:w="1500" w:type="dxa"/>
          </w:tcPr>
          <w:p>
            <w:pPr>
              <w:spacing w:before="50" w:after="50"/>
            </w:pPr>
            <w:r>
              <w:rPr>
                <w:strike w:val="1"/>
                <w:dstrike w:val="0"/>
              </w:rPr>
              <w:t xml:space="preserve">€ 16.095</w:t>
            </w:r>
          </w:p>
        </w:tc>
        <w:tc>
          <w:tcPr>
            <w:tcW w:w="1500" w:type="dxa"/>
          </w:tcPr>
          <w:p>
            <w:pPr>
              <w:spacing w:before="50" w:after="50"/>
            </w:pPr>
            <w:r>
              <w:rPr>
                <w:strike w:val="1"/>
                <w:dstrike w:val="0"/>
              </w:rPr>
              <w:t xml:space="preserve">€ 16.295</w:t>
            </w:r>
          </w:p>
        </w:tc>
        <w:tc>
          <w:tcPr>
            <w:tcW w:w="1500" w:type="dxa"/>
          </w:tcPr>
          <w:p>
            <w:pPr>
              <w:spacing w:before="50" w:after="50"/>
            </w:pPr>
            <w:r>
              <w:rPr>
                <w:strike w:val="1"/>
                <w:dstrike w:val="0"/>
              </w:rPr>
              <w:t xml:space="preserve">€ 18.195</w:t>
            </w:r>
          </w:p>
        </w:tc>
        <w:tc>
          <w:tcPr>
            <w:tcW w:w="1500" w:type="dxa"/>
          </w:tcPr>
          <w:p>
            <w:pPr>
              <w:spacing w:before="50" w:after="50"/>
            </w:pPr>
            <w:r>
              <w:rPr>
                <w:strike w:val="1"/>
                <w:dstrike w:val="0"/>
              </w:rPr>
              <w:t xml:space="preserve">€ 19.495</w:t>
            </w:r>
          </w:p>
        </w:tc>
        <w:tc>
          <w:tcPr>
            <w:tcW w:w="1500" w:type="dxa"/>
          </w:tcPr>
          <w:p>
            <w:pPr>
              <w:spacing w:before="50" w:after="50"/>
            </w:pPr>
            <w:r>
              <w:rPr>
                <w:strike w:val="1"/>
                <w:dstrike w:val="0"/>
              </w:rPr>
              <w:t xml:space="preserve">€ 24.595</w:t>
            </w:r>
          </w:p>
        </w:tc>
      </w:tr>
      <w:tr>
        <w:trPr/>
        <w:tc>
          <w:tcPr>
            <w:tcW w:w="1500" w:type="dxa"/>
          </w:tcPr>
          <w:p>
            <w:pPr>
              <w:spacing w:before="50" w:after="50"/>
            </w:pPr>
            <w:r>
              <w:rPr/>
              <w:t xml:space="preserve">€ 10.166</w:t>
            </w:r>
          </w:p>
        </w:tc>
        <w:tc>
          <w:tcPr>
            <w:tcW w:w="1500" w:type="dxa"/>
          </w:tcPr>
          <w:p>
            <w:pPr>
              <w:spacing w:before="50" w:after="50"/>
            </w:pPr>
            <w:r>
              <w:rPr/>
              <w:t xml:space="preserve">€ 13.496</w:t>
            </w:r>
          </w:p>
        </w:tc>
        <w:tc>
          <w:tcPr>
            <w:tcW w:w="1500" w:type="dxa"/>
          </w:tcPr>
          <w:p>
            <w:pPr>
              <w:spacing w:before="50" w:after="50"/>
            </w:pPr>
            <w:r>
              <w:rPr/>
              <w:t xml:space="preserve">€ 20.246</w:t>
            </w:r>
          </w:p>
        </w:tc>
        <w:tc>
          <w:tcPr>
            <w:tcW w:w="1500" w:type="dxa"/>
          </w:tcPr>
          <w:p>
            <w:pPr>
              <w:spacing w:before="50" w:after="50"/>
            </w:pPr>
            <w:r>
              <w:rPr/>
              <w:t xml:space="preserve">€ 14.486</w:t>
            </w:r>
          </w:p>
        </w:tc>
        <w:tc>
          <w:tcPr>
            <w:tcW w:w="1500" w:type="dxa"/>
          </w:tcPr>
          <w:p>
            <w:pPr>
              <w:spacing w:before="50" w:after="50"/>
            </w:pPr>
            <w:r>
              <w:rPr/>
              <w:t xml:space="preserve">€ 14.666</w:t>
            </w:r>
          </w:p>
        </w:tc>
        <w:tc>
          <w:tcPr>
            <w:tcW w:w="1500" w:type="dxa"/>
          </w:tcPr>
          <w:p>
            <w:pPr>
              <w:spacing w:before="50" w:after="50"/>
            </w:pPr>
            <w:r>
              <w:rPr/>
              <w:t xml:space="preserve">€ 16.376</w:t>
            </w:r>
          </w:p>
        </w:tc>
        <w:tc>
          <w:tcPr>
            <w:tcW w:w="1500" w:type="dxa"/>
          </w:tcPr>
          <w:p>
            <w:pPr>
              <w:spacing w:before="50" w:after="50"/>
            </w:pPr>
            <w:r>
              <w:rPr/>
              <w:t xml:space="preserve">€ 17.546</w:t>
            </w:r>
          </w:p>
        </w:tc>
        <w:tc>
          <w:tcPr>
            <w:tcW w:w="1500" w:type="dxa"/>
          </w:tcPr>
          <w:p>
            <w:pPr>
              <w:spacing w:before="50" w:after="50"/>
            </w:pPr>
            <w:r>
              <w:rPr/>
              <w:t xml:space="preserve">€ 22.136</w:t>
            </w:r>
          </w:p>
        </w:tc>
      </w:tr>
    </w:tbl>
    <w:p>
      <w:pPr>
        <w:jc w:val="left"/>
      </w:pPr>
      <w:r>
        <w:rPr>
          <w:rFonts w:ascii="Arial" w:hAnsi="Arial" w:eastAsia="Arial" w:cs="Arial"/>
          <w:sz w:val="24"/>
          <w:szCs w:val="24"/>
          <w:b w:val="0"/>
          <w:bCs w:val="0"/>
        </w:rPr>
        <w:t xml:space="preserve">Buchen Sie bis zum 30. November und profitieren Sie von 10 % Rabatt auf alle Kabinenkategorien sowie einem kostenlosen Upgrade in die nächsthöhere Kategorie (je nach Verfügbarkeit). Dieses Angebot gilt nur für Neubuchungen, die im Zeitraum vom 1. Oktober bis zum 30. November 2026 getätigt werden. Das Angebot kann nicht mit anderen Rabatten kombiniert werden.</w:t>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E742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2026-10-29T12:10:41+00:00</dcterms:created>
  <dcterms:modified xsi:type="dcterms:W3CDTF">2026-10-29T12:10:41+00:00</dcterms:modified>
</cp:coreProperties>
</file>

<file path=docProps/custom.xml><?xml version="1.0" encoding="utf-8"?>
<Properties xmlns="http://schemas.openxmlformats.org/officeDocument/2006/custom-properties" xmlns:vt="http://schemas.openxmlformats.org/officeDocument/2006/docPropsVTypes"/>
</file>